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hAnsi="仿宋" w:eastAsia="方正小标宋_GBK"/>
          <w:sz w:val="44"/>
          <w:szCs w:val="44"/>
        </w:rPr>
      </w:pPr>
      <w:bookmarkStart w:id="0" w:name="_GoBack"/>
      <w:bookmarkEnd w:id="0"/>
      <w:r>
        <w:rPr>
          <w:rFonts w:hint="eastAsia" w:ascii="方正小标宋_GBK" w:hAnsi="仿宋" w:eastAsia="方正小标宋_GBK"/>
          <w:sz w:val="44"/>
          <w:szCs w:val="44"/>
          <w:lang w:eastAsia="zh-CN"/>
        </w:rPr>
        <w:t>西双版纳职业技术</w:t>
      </w:r>
      <w:r>
        <w:rPr>
          <w:rFonts w:hint="eastAsia" w:ascii="方正小标宋_GBK" w:hAnsi="仿宋" w:eastAsia="方正小标宋_GBK"/>
          <w:sz w:val="44"/>
          <w:szCs w:val="44"/>
        </w:rPr>
        <w:t>学院</w:t>
      </w:r>
    </w:p>
    <w:p>
      <w:pPr>
        <w:spacing w:line="560" w:lineRule="exact"/>
        <w:jc w:val="center"/>
        <w:rPr>
          <w:rFonts w:ascii="方正小标宋_GBK" w:hAnsi="仿宋" w:eastAsia="方正小标宋_GBK"/>
          <w:sz w:val="44"/>
          <w:szCs w:val="44"/>
        </w:rPr>
      </w:pPr>
      <w:r>
        <w:rPr>
          <w:rFonts w:hint="eastAsia" w:ascii="方正小标宋_GBK" w:hAnsi="仿宋" w:eastAsia="方正小标宋_GBK"/>
          <w:sz w:val="44"/>
          <w:szCs w:val="44"/>
        </w:rPr>
        <w:t>国有资产处置管理暂行办法</w:t>
      </w:r>
    </w:p>
    <w:p>
      <w:pPr>
        <w:spacing w:line="560" w:lineRule="exact"/>
        <w:jc w:val="center"/>
        <w:rPr>
          <w:rFonts w:ascii="方正小标宋_GBK" w:hAnsi="仿宋" w:eastAsia="方正小标宋_GBK"/>
          <w:sz w:val="44"/>
          <w:szCs w:val="44"/>
        </w:rPr>
      </w:pPr>
    </w:p>
    <w:p>
      <w:pPr>
        <w:numPr>
          <w:ilvl w:val="0"/>
          <w:numId w:val="1"/>
        </w:numPr>
        <w:spacing w:line="560" w:lineRule="exact"/>
        <w:jc w:val="center"/>
        <w:rPr>
          <w:rFonts w:hint="eastAsia" w:ascii="黑体" w:hAnsi="黑体" w:eastAsia="黑体"/>
          <w:sz w:val="32"/>
          <w:szCs w:val="32"/>
        </w:rPr>
      </w:pPr>
      <w:r>
        <w:rPr>
          <w:rFonts w:hint="eastAsia" w:ascii="黑体" w:hAnsi="黑体" w:eastAsia="黑体"/>
          <w:sz w:val="32"/>
          <w:szCs w:val="32"/>
        </w:rPr>
        <w:t>总则</w:t>
      </w:r>
    </w:p>
    <w:p>
      <w:pPr>
        <w:keepNext w:val="0"/>
        <w:keepLines w:val="0"/>
        <w:widowControl/>
        <w:suppressLineNumbers w:val="0"/>
        <w:jc w:val="left"/>
        <w:rPr>
          <w:rFonts w:ascii="仿宋" w:hAnsi="仿宋" w:eastAsia="仿宋"/>
          <w:sz w:val="32"/>
          <w:szCs w:val="32"/>
        </w:rPr>
      </w:pPr>
      <w:r>
        <w:rPr>
          <w:rFonts w:hint="eastAsia" w:ascii="仿宋" w:hAnsi="仿宋" w:eastAsia="仿宋"/>
          <w:b/>
          <w:sz w:val="32"/>
          <w:szCs w:val="32"/>
        </w:rPr>
        <w:t xml:space="preserve">第一条 </w:t>
      </w:r>
      <w:r>
        <w:rPr>
          <w:rFonts w:hint="eastAsia" w:ascii="仿宋" w:hAnsi="仿宋" w:eastAsia="仿宋"/>
          <w:sz w:val="32"/>
          <w:szCs w:val="32"/>
        </w:rPr>
        <w:t>为加强</w:t>
      </w:r>
      <w:r>
        <w:rPr>
          <w:rFonts w:hint="eastAsia" w:ascii="仿宋" w:hAnsi="仿宋" w:eastAsia="仿宋"/>
          <w:sz w:val="32"/>
          <w:szCs w:val="32"/>
          <w:lang w:eastAsia="zh-CN"/>
        </w:rPr>
        <w:t>西双版纳职业技术</w:t>
      </w:r>
      <w:r>
        <w:rPr>
          <w:rFonts w:hint="eastAsia" w:ascii="仿宋" w:hAnsi="仿宋" w:eastAsia="仿宋"/>
          <w:sz w:val="32"/>
          <w:szCs w:val="32"/>
        </w:rPr>
        <w:t>学院（以下简称学院）国有资产管理，规范国有资产处置行为，维护国有资产的安全和完整，保障国家所有者权益，根据《西双版纳州行政事业单位国有资产管理办法》(西政办发〔2009]136号)和《</w:t>
      </w:r>
      <w:r>
        <w:rPr>
          <w:rFonts w:hint="eastAsia" w:ascii="仿宋" w:hAnsi="仿宋" w:eastAsia="仿宋"/>
          <w:sz w:val="32"/>
          <w:szCs w:val="32"/>
          <w:lang w:val="en-US" w:eastAsia="zh-CN"/>
        </w:rPr>
        <w:t>西双版纳州州级行政事业单位国有资产处置管理办法</w:t>
      </w:r>
      <w:r>
        <w:rPr>
          <w:rFonts w:hint="eastAsia" w:ascii="仿宋" w:hAnsi="仿宋" w:eastAsia="仿宋"/>
          <w:sz w:val="32"/>
          <w:szCs w:val="32"/>
        </w:rPr>
        <w:t>》(</w:t>
      </w:r>
      <w:r>
        <w:rPr>
          <w:rFonts w:hint="eastAsia" w:ascii="仿宋" w:hAnsi="仿宋" w:eastAsia="仿宋"/>
          <w:sz w:val="32"/>
          <w:szCs w:val="32"/>
          <w:lang w:val="en-US" w:eastAsia="zh-CN"/>
        </w:rPr>
        <w:t>西财资发〔</w:t>
      </w:r>
      <w:r>
        <w:rPr>
          <w:rFonts w:hint="default" w:ascii="仿宋" w:hAnsi="仿宋" w:eastAsia="仿宋"/>
          <w:sz w:val="32"/>
          <w:szCs w:val="32"/>
          <w:lang w:val="en-US" w:eastAsia="zh-CN"/>
        </w:rPr>
        <w:t>2021</w:t>
      </w:r>
      <w:r>
        <w:rPr>
          <w:rFonts w:hint="eastAsia" w:ascii="仿宋" w:hAnsi="仿宋" w:eastAsia="仿宋"/>
          <w:sz w:val="32"/>
          <w:szCs w:val="32"/>
          <w:lang w:val="en-US" w:eastAsia="zh-CN"/>
        </w:rPr>
        <w:t>〕</w:t>
      </w:r>
      <w:r>
        <w:rPr>
          <w:rFonts w:hint="default" w:ascii="仿宋" w:hAnsi="仿宋" w:eastAsia="仿宋"/>
          <w:sz w:val="32"/>
          <w:szCs w:val="32"/>
          <w:lang w:val="en-US" w:eastAsia="zh-CN"/>
        </w:rPr>
        <w:t>34</w:t>
      </w:r>
      <w:r>
        <w:rPr>
          <w:rFonts w:hint="eastAsia" w:ascii="仿宋" w:hAnsi="仿宋" w:eastAsia="仿宋"/>
          <w:sz w:val="32"/>
          <w:szCs w:val="32"/>
          <w:lang w:val="en-US" w:eastAsia="zh-CN"/>
        </w:rPr>
        <w:t>号</w:t>
      </w:r>
      <w:r>
        <w:rPr>
          <w:rFonts w:hint="eastAsia" w:ascii="仿宋" w:hAnsi="仿宋" w:eastAsia="仿宋"/>
          <w:sz w:val="32"/>
          <w:szCs w:val="32"/>
        </w:rPr>
        <w:t>)，参照《云南省省级行政事业单位国有资产处置管理暂行办法》(云财资〔2020 ]128号 )结合本院实际，制定本办法。</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第二条</w:t>
      </w:r>
      <w:r>
        <w:rPr>
          <w:rFonts w:hint="eastAsia" w:ascii="仿宋" w:hAnsi="仿宋" w:eastAsia="仿宋"/>
          <w:sz w:val="32"/>
          <w:szCs w:val="32"/>
        </w:rPr>
        <w:t xml:space="preserve"> 本办法所称的国有资产处置，是指学院对其占有、使用的国有资产进行产权转让或注销等行为。</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 xml:space="preserve">第三条 </w:t>
      </w:r>
      <w:r>
        <w:rPr>
          <w:rFonts w:hint="eastAsia" w:ascii="仿宋" w:hAnsi="仿宋" w:eastAsia="仿宋"/>
          <w:sz w:val="32"/>
          <w:szCs w:val="32"/>
        </w:rPr>
        <w:t>学院的国有资产处置应当遵循公开、公正、公平和竞争、择优的原则，严格履行审批手续，未经批准不得擅自处置。</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第四条</w:t>
      </w:r>
      <w:r>
        <w:rPr>
          <w:rFonts w:hint="eastAsia" w:ascii="仿宋" w:hAnsi="仿宋" w:eastAsia="仿宋"/>
          <w:sz w:val="32"/>
          <w:szCs w:val="32"/>
        </w:rPr>
        <w:t xml:space="preserve"> 学院拟处置的国有资产权属应当清晰。权属关系不明确或者存在权属纠纷的资产，须权属界定明确后再予以处置;被设置为担保物的国有资产处置，应当符合《中华人民共和国担保法》、《中华人民共和国物权法》等法律、法规的有关规定。</w:t>
      </w:r>
    </w:p>
    <w:p>
      <w:pPr>
        <w:spacing w:line="560" w:lineRule="exact"/>
        <w:jc w:val="center"/>
        <w:rPr>
          <w:rFonts w:ascii="黑体" w:hAnsi="黑体" w:eastAsia="黑体"/>
          <w:sz w:val="32"/>
          <w:szCs w:val="32"/>
        </w:rPr>
      </w:pPr>
      <w:r>
        <w:rPr>
          <w:rFonts w:hint="eastAsia" w:ascii="黑体" w:hAnsi="黑体" w:eastAsia="黑体"/>
          <w:sz w:val="32"/>
          <w:szCs w:val="32"/>
        </w:rPr>
        <w:t>第二章 资产处置范围和基本程序</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第五条</w:t>
      </w:r>
      <w:r>
        <w:rPr>
          <w:rFonts w:hint="eastAsia" w:ascii="仿宋" w:hAnsi="仿宋" w:eastAsia="仿宋"/>
          <w:sz w:val="32"/>
          <w:szCs w:val="32"/>
        </w:rPr>
        <w:t xml:space="preserve"> 学院国有资产处置范围包括:</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(一）闲置资产;</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(二）报废报损的资产;</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(三）所有权或使用权转移的资产;</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(四）盘亏、呆账及非正常损失的资产;</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(五）依照国家有关规定需处置的其他资产。</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学院国有资产处置方式包括无偿调拨（划转)、转让、出售、出让、置换、报废报损、对外捐赠、货币性资产损失核销等。</w:t>
      </w:r>
    </w:p>
    <w:p>
      <w:pPr>
        <w:pStyle w:val="10"/>
        <w:spacing w:line="568" w:lineRule="exact"/>
        <w:ind w:firstLine="643" w:firstLineChars="200"/>
        <w:jc w:val="both"/>
        <w:rPr>
          <w:rFonts w:ascii="仿宋_GB2312" w:hAnsi="方正小标宋简体" w:eastAsia="仿宋_GB2312" w:cs="仿宋_GB2312"/>
          <w:sz w:val="32"/>
          <w:szCs w:val="32"/>
        </w:rPr>
      </w:pPr>
      <w:r>
        <w:rPr>
          <w:rFonts w:hint="eastAsia" w:ascii="仿宋" w:hAnsi="仿宋" w:eastAsia="仿宋"/>
          <w:b/>
          <w:sz w:val="32"/>
          <w:szCs w:val="32"/>
        </w:rPr>
        <w:t xml:space="preserve">第六条 </w:t>
      </w:r>
      <w:r>
        <w:rPr>
          <w:rFonts w:hint="eastAsia" w:ascii="仿宋" w:hAnsi="仿宋" w:eastAsia="仿宋" w:cs="仿宋_GB2312"/>
          <w:sz w:val="32"/>
          <w:szCs w:val="32"/>
        </w:rPr>
        <w:t>学院国有资产处置工作须按照申报、审批、处置的流程进行。</w:t>
      </w:r>
      <w:r>
        <w:rPr>
          <w:rFonts w:ascii="仿宋" w:hAnsi="仿宋" w:eastAsia="仿宋" w:cs="仿宋_GB2312"/>
          <w:sz w:val="32"/>
          <w:szCs w:val="32"/>
        </w:rPr>
        <w:t xml:space="preserve"> </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第七条</w:t>
      </w:r>
      <w:r>
        <w:rPr>
          <w:rFonts w:hint="eastAsia" w:ascii="仿宋" w:hAnsi="仿宋" w:eastAsia="仿宋"/>
          <w:sz w:val="32"/>
          <w:szCs w:val="32"/>
        </w:rPr>
        <w:t xml:space="preserve"> 学院国有资产处置的审批权限:</w:t>
      </w:r>
    </w:p>
    <w:p>
      <w:pPr>
        <w:keepNext w:val="0"/>
        <w:keepLines w:val="0"/>
        <w:widowControl/>
        <w:suppressLineNumbers w:val="0"/>
        <w:ind w:firstLine="640" w:firstLineChars="200"/>
        <w:jc w:val="left"/>
        <w:rPr>
          <w:rFonts w:hint="eastAsia" w:ascii="仿宋" w:hAnsi="仿宋" w:eastAsia="仿宋" w:cs="仿宋_GB2312"/>
          <w:color w:val="000000"/>
          <w:kern w:val="0"/>
          <w:sz w:val="32"/>
          <w:szCs w:val="32"/>
          <w:lang w:val="en-US" w:eastAsia="zh-CN" w:bidi="ar-SA"/>
        </w:rPr>
      </w:pPr>
      <w:r>
        <w:rPr>
          <w:rFonts w:hint="eastAsia" w:ascii="仿宋" w:hAnsi="仿宋" w:eastAsia="仿宋" w:cs="仿宋_GB2312"/>
          <w:color w:val="000000"/>
          <w:kern w:val="0"/>
          <w:sz w:val="32"/>
          <w:szCs w:val="32"/>
          <w:lang w:val="en-US" w:eastAsia="zh-CN" w:bidi="ar-SA"/>
        </w:rPr>
        <w:t xml:space="preserve">(一）由主管部门审核并审批的： </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_GB2312"/>
          <w:color w:val="000000"/>
          <w:kern w:val="0"/>
          <w:sz w:val="32"/>
          <w:szCs w:val="32"/>
          <w:lang w:val="en-US" w:eastAsia="zh-CN" w:bidi="ar-SA"/>
        </w:rPr>
      </w:pPr>
      <w:r>
        <w:rPr>
          <w:rFonts w:hint="default" w:ascii="仿宋" w:hAnsi="仿宋" w:eastAsia="仿宋" w:cs="仿宋_GB2312"/>
          <w:color w:val="000000"/>
          <w:kern w:val="0"/>
          <w:sz w:val="32"/>
          <w:szCs w:val="32"/>
          <w:lang w:val="en-US" w:eastAsia="zh-CN" w:bidi="ar-SA"/>
        </w:rPr>
        <w:t>1.</w:t>
      </w:r>
      <w:r>
        <w:rPr>
          <w:rFonts w:hint="eastAsia" w:ascii="仿宋" w:hAnsi="仿宋" w:eastAsia="仿宋" w:cs="仿宋_GB2312"/>
          <w:color w:val="000000"/>
          <w:kern w:val="0"/>
          <w:sz w:val="32"/>
          <w:szCs w:val="32"/>
          <w:lang w:val="en-US" w:eastAsia="zh-CN" w:bidi="ar-SA"/>
        </w:rPr>
        <w:t xml:space="preserve">报废国有资产单项资产原值 </w:t>
      </w:r>
      <w:r>
        <w:rPr>
          <w:rFonts w:hint="default" w:ascii="仿宋" w:hAnsi="仿宋" w:eastAsia="仿宋" w:cs="仿宋_GB2312"/>
          <w:color w:val="000000"/>
          <w:kern w:val="0"/>
          <w:sz w:val="32"/>
          <w:szCs w:val="32"/>
          <w:lang w:val="en-US" w:eastAsia="zh-CN" w:bidi="ar-SA"/>
        </w:rPr>
        <w:t xml:space="preserve">10 </w:t>
      </w:r>
      <w:r>
        <w:rPr>
          <w:rFonts w:hint="eastAsia" w:ascii="仿宋" w:hAnsi="仿宋" w:eastAsia="仿宋" w:cs="仿宋_GB2312"/>
          <w:color w:val="000000"/>
          <w:kern w:val="0"/>
          <w:sz w:val="32"/>
          <w:szCs w:val="32"/>
          <w:lang w:val="en-US" w:eastAsia="zh-CN" w:bidi="ar-SA"/>
        </w:rPr>
        <w:t xml:space="preserve">万元（含）以下或一次 </w:t>
      </w:r>
    </w:p>
    <w:p>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仿宋" w:hAnsi="仿宋" w:eastAsia="仿宋" w:cs="仿宋_GB2312"/>
          <w:color w:val="000000"/>
          <w:kern w:val="0"/>
          <w:sz w:val="32"/>
          <w:szCs w:val="32"/>
          <w:lang w:val="en-US" w:eastAsia="zh-CN" w:bidi="ar-SA"/>
        </w:rPr>
      </w:pPr>
      <w:r>
        <w:rPr>
          <w:rFonts w:hint="eastAsia" w:ascii="仿宋" w:hAnsi="仿宋" w:eastAsia="仿宋" w:cs="仿宋_GB2312"/>
          <w:color w:val="000000"/>
          <w:kern w:val="0"/>
          <w:sz w:val="32"/>
          <w:szCs w:val="32"/>
          <w:lang w:val="en-US" w:eastAsia="zh-CN" w:bidi="ar-SA"/>
        </w:rPr>
        <w:t xml:space="preserve">性报废批量资产原值总计 </w:t>
      </w:r>
      <w:r>
        <w:rPr>
          <w:rFonts w:hint="default" w:ascii="仿宋" w:hAnsi="仿宋" w:eastAsia="仿宋" w:cs="仿宋_GB2312"/>
          <w:color w:val="000000"/>
          <w:kern w:val="0"/>
          <w:sz w:val="32"/>
          <w:szCs w:val="32"/>
          <w:lang w:val="en-US" w:eastAsia="zh-CN" w:bidi="ar-SA"/>
        </w:rPr>
        <w:t xml:space="preserve">20 </w:t>
      </w:r>
      <w:r>
        <w:rPr>
          <w:rFonts w:hint="eastAsia" w:ascii="仿宋" w:hAnsi="仿宋" w:eastAsia="仿宋" w:cs="仿宋_GB2312"/>
          <w:color w:val="000000"/>
          <w:kern w:val="0"/>
          <w:sz w:val="32"/>
          <w:szCs w:val="32"/>
          <w:lang w:val="en-US" w:eastAsia="zh-CN" w:bidi="ar-SA"/>
        </w:rPr>
        <w:t xml:space="preserve">万元（含）以下的； </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_GB2312"/>
          <w:color w:val="000000"/>
          <w:kern w:val="0"/>
          <w:sz w:val="32"/>
          <w:szCs w:val="32"/>
          <w:lang w:val="en-US" w:eastAsia="zh-CN" w:bidi="ar-SA"/>
        </w:rPr>
      </w:pPr>
      <w:r>
        <w:rPr>
          <w:rFonts w:hint="default" w:ascii="仿宋" w:hAnsi="仿宋" w:eastAsia="仿宋" w:cs="仿宋_GB2312"/>
          <w:color w:val="000000"/>
          <w:kern w:val="0"/>
          <w:sz w:val="32"/>
          <w:szCs w:val="32"/>
          <w:lang w:val="en-US" w:eastAsia="zh-CN" w:bidi="ar-SA"/>
        </w:rPr>
        <w:t>2.</w:t>
      </w:r>
      <w:r>
        <w:rPr>
          <w:rFonts w:hint="eastAsia" w:ascii="仿宋" w:hAnsi="仿宋" w:eastAsia="仿宋" w:cs="仿宋_GB2312"/>
          <w:color w:val="000000"/>
          <w:kern w:val="0"/>
          <w:sz w:val="32"/>
          <w:szCs w:val="32"/>
          <w:lang w:val="en-US" w:eastAsia="zh-CN" w:bidi="ar-SA"/>
        </w:rPr>
        <w:t xml:space="preserve">同一主管部门内部无偿调拨（划转）资产的； </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_GB2312"/>
          <w:color w:val="000000"/>
          <w:kern w:val="0"/>
          <w:sz w:val="32"/>
          <w:szCs w:val="32"/>
          <w:lang w:val="en-US" w:eastAsia="zh-CN" w:bidi="ar-SA"/>
        </w:rPr>
      </w:pPr>
      <w:r>
        <w:rPr>
          <w:rFonts w:hint="default" w:ascii="仿宋" w:hAnsi="仿宋" w:eastAsia="仿宋" w:cs="仿宋_GB2312"/>
          <w:color w:val="000000"/>
          <w:kern w:val="0"/>
          <w:sz w:val="32"/>
          <w:szCs w:val="32"/>
          <w:lang w:val="en-US" w:eastAsia="zh-CN" w:bidi="ar-SA"/>
        </w:rPr>
        <w:t>3.</w:t>
      </w:r>
      <w:r>
        <w:rPr>
          <w:rFonts w:hint="eastAsia" w:ascii="仿宋" w:hAnsi="仿宋" w:eastAsia="仿宋" w:cs="仿宋_GB2312"/>
          <w:color w:val="000000"/>
          <w:kern w:val="0"/>
          <w:sz w:val="32"/>
          <w:szCs w:val="32"/>
          <w:lang w:val="en-US" w:eastAsia="zh-CN" w:bidi="ar-SA"/>
        </w:rPr>
        <w:t xml:space="preserve">按规定核销单笔货币性资产损失 </w:t>
      </w:r>
      <w:r>
        <w:rPr>
          <w:rFonts w:hint="default" w:ascii="仿宋" w:hAnsi="仿宋" w:eastAsia="仿宋" w:cs="仿宋_GB2312"/>
          <w:color w:val="000000"/>
          <w:kern w:val="0"/>
          <w:sz w:val="32"/>
          <w:szCs w:val="32"/>
          <w:lang w:val="en-US" w:eastAsia="zh-CN" w:bidi="ar-SA"/>
        </w:rPr>
        <w:t xml:space="preserve">5 </w:t>
      </w:r>
      <w:r>
        <w:rPr>
          <w:rFonts w:hint="eastAsia" w:ascii="仿宋" w:hAnsi="仿宋" w:eastAsia="仿宋" w:cs="仿宋_GB2312"/>
          <w:color w:val="000000"/>
          <w:kern w:val="0"/>
          <w:sz w:val="32"/>
          <w:szCs w:val="32"/>
          <w:lang w:val="en-US" w:eastAsia="zh-CN" w:bidi="ar-SA"/>
        </w:rPr>
        <w:t xml:space="preserve">千元（含）以内的。 </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_GB2312"/>
          <w:color w:val="000000"/>
          <w:kern w:val="0"/>
          <w:sz w:val="32"/>
          <w:szCs w:val="32"/>
          <w:lang w:val="en-US" w:eastAsia="zh-CN" w:bidi="ar-SA"/>
        </w:rPr>
      </w:pPr>
      <w:r>
        <w:rPr>
          <w:rFonts w:hint="eastAsia" w:ascii="仿宋" w:hAnsi="仿宋" w:eastAsia="仿宋" w:cs="仿宋_GB2312"/>
          <w:color w:val="000000"/>
          <w:kern w:val="0"/>
          <w:sz w:val="32"/>
          <w:szCs w:val="32"/>
          <w:lang w:val="en-US" w:eastAsia="zh-CN" w:bidi="ar-SA"/>
        </w:rPr>
        <w:t xml:space="preserve">(二）由主管部门审核后报州机关事务局审批的： </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_GB2312"/>
          <w:color w:val="000000"/>
          <w:kern w:val="0"/>
          <w:sz w:val="32"/>
          <w:szCs w:val="32"/>
          <w:lang w:val="en-US" w:eastAsia="zh-CN" w:bidi="ar-SA"/>
        </w:rPr>
      </w:pPr>
      <w:r>
        <w:rPr>
          <w:rFonts w:hint="default" w:ascii="仿宋" w:hAnsi="仿宋" w:eastAsia="仿宋" w:cs="仿宋_GB2312"/>
          <w:color w:val="000000"/>
          <w:kern w:val="0"/>
          <w:sz w:val="32"/>
          <w:szCs w:val="32"/>
          <w:lang w:val="en-US" w:eastAsia="zh-CN" w:bidi="ar-SA"/>
        </w:rPr>
        <w:t>1.</w:t>
      </w:r>
      <w:r>
        <w:rPr>
          <w:rFonts w:hint="eastAsia" w:ascii="仿宋" w:hAnsi="仿宋" w:eastAsia="仿宋" w:cs="仿宋_GB2312"/>
          <w:color w:val="000000"/>
          <w:kern w:val="0"/>
          <w:sz w:val="32"/>
          <w:szCs w:val="32"/>
          <w:lang w:val="en-US" w:eastAsia="zh-CN" w:bidi="ar-SA"/>
        </w:rPr>
        <w:t xml:space="preserve">报废单项资产原值 </w:t>
      </w:r>
      <w:r>
        <w:rPr>
          <w:rFonts w:hint="default" w:ascii="仿宋" w:hAnsi="仿宋" w:eastAsia="仿宋" w:cs="仿宋_GB2312"/>
          <w:color w:val="000000"/>
          <w:kern w:val="0"/>
          <w:sz w:val="32"/>
          <w:szCs w:val="32"/>
          <w:lang w:val="en-US" w:eastAsia="zh-CN" w:bidi="ar-SA"/>
        </w:rPr>
        <w:t xml:space="preserve">10 </w:t>
      </w:r>
      <w:r>
        <w:rPr>
          <w:rFonts w:hint="eastAsia" w:ascii="仿宋" w:hAnsi="仿宋" w:eastAsia="仿宋" w:cs="仿宋_GB2312"/>
          <w:color w:val="000000"/>
          <w:kern w:val="0"/>
          <w:sz w:val="32"/>
          <w:szCs w:val="32"/>
          <w:lang w:val="en-US" w:eastAsia="zh-CN" w:bidi="ar-SA"/>
        </w:rPr>
        <w:t xml:space="preserve">万元（不含）以上或一次性报废 </w:t>
      </w:r>
    </w:p>
    <w:p>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仿宋" w:hAnsi="仿宋" w:eastAsia="仿宋" w:cs="仿宋_GB2312"/>
          <w:color w:val="000000"/>
          <w:kern w:val="0"/>
          <w:sz w:val="32"/>
          <w:szCs w:val="32"/>
          <w:lang w:val="en-US" w:eastAsia="zh-CN" w:bidi="ar-SA"/>
        </w:rPr>
      </w:pPr>
      <w:r>
        <w:rPr>
          <w:rFonts w:hint="eastAsia" w:ascii="仿宋" w:hAnsi="仿宋" w:eastAsia="仿宋" w:cs="仿宋_GB2312"/>
          <w:color w:val="000000"/>
          <w:kern w:val="0"/>
          <w:sz w:val="32"/>
          <w:szCs w:val="32"/>
          <w:lang w:val="en-US" w:eastAsia="zh-CN" w:bidi="ar-SA"/>
        </w:rPr>
        <w:t xml:space="preserve">批量资产原值总计 </w:t>
      </w:r>
      <w:r>
        <w:rPr>
          <w:rFonts w:hint="default" w:ascii="仿宋" w:hAnsi="仿宋" w:eastAsia="仿宋" w:cs="仿宋_GB2312"/>
          <w:color w:val="000000"/>
          <w:kern w:val="0"/>
          <w:sz w:val="32"/>
          <w:szCs w:val="32"/>
          <w:lang w:val="en-US" w:eastAsia="zh-CN" w:bidi="ar-SA"/>
        </w:rPr>
        <w:t xml:space="preserve">20 </w:t>
      </w:r>
      <w:r>
        <w:rPr>
          <w:rFonts w:hint="eastAsia" w:ascii="仿宋" w:hAnsi="仿宋" w:eastAsia="仿宋" w:cs="仿宋_GB2312"/>
          <w:color w:val="000000"/>
          <w:kern w:val="0"/>
          <w:sz w:val="32"/>
          <w:szCs w:val="32"/>
          <w:lang w:val="en-US" w:eastAsia="zh-CN" w:bidi="ar-SA"/>
        </w:rPr>
        <w:t xml:space="preserve">万元（不含）以上的； </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_GB2312"/>
          <w:color w:val="000000"/>
          <w:kern w:val="0"/>
          <w:sz w:val="32"/>
          <w:szCs w:val="32"/>
          <w:lang w:val="en-US" w:eastAsia="zh-CN" w:bidi="ar-SA"/>
        </w:rPr>
      </w:pPr>
      <w:r>
        <w:rPr>
          <w:rFonts w:hint="default" w:ascii="仿宋" w:hAnsi="仿宋" w:eastAsia="仿宋" w:cs="仿宋_GB2312"/>
          <w:color w:val="000000"/>
          <w:kern w:val="0"/>
          <w:sz w:val="32"/>
          <w:szCs w:val="32"/>
          <w:lang w:val="en-US" w:eastAsia="zh-CN" w:bidi="ar-SA"/>
        </w:rPr>
        <w:t>2.</w:t>
      </w:r>
      <w:r>
        <w:rPr>
          <w:rFonts w:hint="eastAsia" w:ascii="仿宋" w:hAnsi="仿宋" w:eastAsia="仿宋" w:cs="仿宋_GB2312"/>
          <w:color w:val="000000"/>
          <w:kern w:val="0"/>
          <w:sz w:val="32"/>
          <w:szCs w:val="32"/>
          <w:lang w:val="en-US" w:eastAsia="zh-CN" w:bidi="ar-SA"/>
        </w:rPr>
        <w:t xml:space="preserve">捐赠、报损、出售、出让、转让、置换方式处置国有 </w:t>
      </w:r>
    </w:p>
    <w:p>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仿宋" w:hAnsi="仿宋" w:eastAsia="仿宋" w:cs="仿宋_GB2312"/>
          <w:color w:val="000000"/>
          <w:kern w:val="0"/>
          <w:sz w:val="32"/>
          <w:szCs w:val="32"/>
          <w:lang w:val="en-US" w:eastAsia="zh-CN" w:bidi="ar-SA"/>
        </w:rPr>
      </w:pPr>
      <w:r>
        <w:rPr>
          <w:rFonts w:hint="eastAsia" w:ascii="仿宋" w:hAnsi="仿宋" w:eastAsia="仿宋" w:cs="仿宋_GB2312"/>
          <w:color w:val="000000"/>
          <w:kern w:val="0"/>
          <w:sz w:val="32"/>
          <w:szCs w:val="32"/>
          <w:lang w:val="en-US" w:eastAsia="zh-CN" w:bidi="ar-SA"/>
        </w:rPr>
        <w:t>资产的；</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_GB2312"/>
          <w:color w:val="000000"/>
          <w:kern w:val="0"/>
          <w:sz w:val="32"/>
          <w:szCs w:val="32"/>
          <w:lang w:val="en-US" w:eastAsia="zh-CN" w:bidi="ar-SA"/>
        </w:rPr>
      </w:pPr>
      <w:r>
        <w:rPr>
          <w:rFonts w:hint="default" w:ascii="仿宋" w:hAnsi="仿宋" w:eastAsia="仿宋" w:cs="仿宋_GB2312"/>
          <w:color w:val="000000"/>
          <w:kern w:val="0"/>
          <w:sz w:val="32"/>
          <w:szCs w:val="32"/>
          <w:lang w:val="en-US" w:eastAsia="zh-CN" w:bidi="ar-SA"/>
        </w:rPr>
        <w:t>3.</w:t>
      </w:r>
      <w:r>
        <w:rPr>
          <w:rFonts w:hint="eastAsia" w:ascii="仿宋" w:hAnsi="仿宋" w:eastAsia="仿宋" w:cs="仿宋_GB2312"/>
          <w:color w:val="000000"/>
          <w:kern w:val="0"/>
          <w:sz w:val="32"/>
          <w:szCs w:val="32"/>
          <w:lang w:val="en-US" w:eastAsia="zh-CN" w:bidi="ar-SA"/>
        </w:rPr>
        <w:t xml:space="preserve">跨部门、跨级次无偿划拨资产的； </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_GB2312"/>
          <w:color w:val="000000"/>
          <w:kern w:val="0"/>
          <w:sz w:val="32"/>
          <w:szCs w:val="32"/>
          <w:lang w:val="en-US" w:eastAsia="zh-CN" w:bidi="ar-SA"/>
        </w:rPr>
      </w:pPr>
      <w:r>
        <w:rPr>
          <w:rFonts w:hint="default" w:ascii="仿宋" w:hAnsi="仿宋" w:eastAsia="仿宋" w:cs="仿宋_GB2312"/>
          <w:color w:val="000000"/>
          <w:kern w:val="0"/>
          <w:sz w:val="32"/>
          <w:szCs w:val="32"/>
          <w:lang w:val="en-US" w:eastAsia="zh-CN" w:bidi="ar-SA"/>
        </w:rPr>
        <w:t>4.</w:t>
      </w:r>
      <w:r>
        <w:rPr>
          <w:rFonts w:hint="eastAsia" w:ascii="仿宋" w:hAnsi="仿宋" w:eastAsia="仿宋" w:cs="仿宋_GB2312"/>
          <w:color w:val="000000"/>
          <w:kern w:val="0"/>
          <w:sz w:val="32"/>
          <w:szCs w:val="32"/>
          <w:lang w:val="en-US" w:eastAsia="zh-CN" w:bidi="ar-SA"/>
        </w:rPr>
        <w:t xml:space="preserve">处置土地使用权（除经营性开发外）及房屋构筑物的； </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_GB2312"/>
          <w:color w:val="000000"/>
          <w:kern w:val="0"/>
          <w:sz w:val="32"/>
          <w:szCs w:val="32"/>
          <w:lang w:val="en-US" w:eastAsia="zh-CN" w:bidi="ar-SA"/>
        </w:rPr>
      </w:pPr>
      <w:r>
        <w:rPr>
          <w:rFonts w:hint="default" w:ascii="仿宋" w:hAnsi="仿宋" w:eastAsia="仿宋" w:cs="仿宋_GB2312"/>
          <w:color w:val="000000"/>
          <w:kern w:val="0"/>
          <w:sz w:val="32"/>
          <w:szCs w:val="32"/>
          <w:lang w:val="en-US" w:eastAsia="zh-CN" w:bidi="ar-SA"/>
        </w:rPr>
        <w:t>5.</w:t>
      </w:r>
      <w:r>
        <w:rPr>
          <w:rFonts w:hint="eastAsia" w:ascii="仿宋" w:hAnsi="仿宋" w:eastAsia="仿宋" w:cs="仿宋_GB2312"/>
          <w:color w:val="000000"/>
          <w:kern w:val="0"/>
          <w:sz w:val="32"/>
          <w:szCs w:val="32"/>
          <w:lang w:val="en-US" w:eastAsia="zh-CN" w:bidi="ar-SA"/>
        </w:rPr>
        <w:t xml:space="preserve">行政事业单位发生分离、撤销、合并、改制、隶属关 </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_GB2312"/>
          <w:color w:val="000000"/>
          <w:kern w:val="0"/>
          <w:sz w:val="32"/>
          <w:szCs w:val="32"/>
          <w:lang w:val="en-US" w:eastAsia="zh-CN" w:bidi="ar-SA"/>
        </w:rPr>
      </w:pPr>
      <w:r>
        <w:rPr>
          <w:rFonts w:hint="eastAsia" w:ascii="仿宋" w:hAnsi="仿宋" w:eastAsia="仿宋" w:cs="仿宋_GB2312"/>
          <w:color w:val="000000"/>
          <w:kern w:val="0"/>
          <w:sz w:val="32"/>
          <w:szCs w:val="32"/>
          <w:lang w:val="en-US" w:eastAsia="zh-CN" w:bidi="ar-SA"/>
        </w:rPr>
        <w:t xml:space="preserve">系改变的； </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_GB2312"/>
          <w:color w:val="000000"/>
          <w:kern w:val="0"/>
          <w:sz w:val="32"/>
          <w:szCs w:val="32"/>
          <w:lang w:val="en-US" w:eastAsia="zh-CN" w:bidi="ar-SA"/>
        </w:rPr>
      </w:pPr>
      <w:r>
        <w:rPr>
          <w:rFonts w:hint="default" w:ascii="仿宋" w:hAnsi="仿宋" w:eastAsia="仿宋" w:cs="仿宋_GB2312"/>
          <w:color w:val="000000"/>
          <w:kern w:val="0"/>
          <w:sz w:val="32"/>
          <w:szCs w:val="32"/>
          <w:lang w:val="en-US" w:eastAsia="zh-CN" w:bidi="ar-SA"/>
        </w:rPr>
        <w:t>6.</w:t>
      </w:r>
      <w:r>
        <w:rPr>
          <w:rFonts w:hint="eastAsia" w:ascii="仿宋" w:hAnsi="仿宋" w:eastAsia="仿宋" w:cs="仿宋_GB2312"/>
          <w:color w:val="000000"/>
          <w:kern w:val="0"/>
          <w:sz w:val="32"/>
          <w:szCs w:val="32"/>
          <w:lang w:val="en-US" w:eastAsia="zh-CN" w:bidi="ar-SA"/>
        </w:rPr>
        <w:t xml:space="preserve">按规定核销单笔货币性资产损失 </w:t>
      </w:r>
      <w:r>
        <w:rPr>
          <w:rFonts w:hint="default" w:ascii="仿宋" w:hAnsi="仿宋" w:eastAsia="仿宋" w:cs="仿宋_GB2312"/>
          <w:color w:val="000000"/>
          <w:kern w:val="0"/>
          <w:sz w:val="32"/>
          <w:szCs w:val="32"/>
          <w:lang w:val="en-US" w:eastAsia="zh-CN" w:bidi="ar-SA"/>
        </w:rPr>
        <w:t xml:space="preserve">5 </w:t>
      </w:r>
      <w:r>
        <w:rPr>
          <w:rFonts w:hint="eastAsia" w:ascii="仿宋" w:hAnsi="仿宋" w:eastAsia="仿宋" w:cs="仿宋_GB2312"/>
          <w:color w:val="000000"/>
          <w:kern w:val="0"/>
          <w:sz w:val="32"/>
          <w:szCs w:val="32"/>
          <w:lang w:val="en-US" w:eastAsia="zh-CN" w:bidi="ar-SA"/>
        </w:rPr>
        <w:t xml:space="preserve">千元（不含）以上的； </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_GB2312"/>
          <w:color w:val="000000"/>
          <w:kern w:val="0"/>
          <w:sz w:val="32"/>
          <w:szCs w:val="32"/>
          <w:lang w:val="en-US" w:eastAsia="zh-CN" w:bidi="ar-SA"/>
        </w:rPr>
      </w:pPr>
      <w:r>
        <w:rPr>
          <w:rFonts w:hint="default" w:ascii="仿宋" w:hAnsi="仿宋" w:eastAsia="仿宋" w:cs="仿宋_GB2312"/>
          <w:color w:val="000000"/>
          <w:kern w:val="0"/>
          <w:sz w:val="32"/>
          <w:szCs w:val="32"/>
          <w:lang w:val="en-US" w:eastAsia="zh-CN" w:bidi="ar-SA"/>
        </w:rPr>
        <w:t>7.</w:t>
      </w:r>
      <w:r>
        <w:rPr>
          <w:rFonts w:hint="eastAsia" w:ascii="仿宋" w:hAnsi="仿宋" w:eastAsia="仿宋" w:cs="仿宋_GB2312"/>
          <w:color w:val="000000"/>
          <w:kern w:val="0"/>
          <w:sz w:val="32"/>
          <w:szCs w:val="32"/>
          <w:lang w:val="en-US" w:eastAsia="zh-CN" w:bidi="ar-SA"/>
        </w:rPr>
        <w:t>法律、法规规定需要报批的其他事项。</w:t>
      </w:r>
    </w:p>
    <w:p>
      <w:pPr>
        <w:spacing w:line="560" w:lineRule="exact"/>
        <w:ind w:firstLine="640" w:firstLineChars="200"/>
        <w:rPr>
          <w:rFonts w:ascii="仿宋" w:hAnsi="仿宋" w:eastAsia="仿宋"/>
          <w:sz w:val="32"/>
          <w:szCs w:val="32"/>
        </w:rPr>
      </w:pPr>
      <w:r>
        <w:rPr>
          <w:rFonts w:hint="eastAsia" w:ascii="仿宋" w:hAnsi="仿宋" w:eastAsia="仿宋" w:cs="仿宋_GB2312"/>
          <w:color w:val="000000"/>
          <w:kern w:val="0"/>
          <w:sz w:val="32"/>
          <w:szCs w:val="32"/>
          <w:lang w:val="en-US" w:eastAsia="zh-CN" w:bidi="ar-SA"/>
        </w:rPr>
        <w:t>本条规定涉及土地处置的，应当按照土地管理的有关规定</w:t>
      </w:r>
      <w:r>
        <w:rPr>
          <w:rFonts w:hint="eastAsia" w:ascii="仿宋" w:hAnsi="仿宋" w:eastAsia="仿宋"/>
          <w:sz w:val="32"/>
          <w:szCs w:val="32"/>
        </w:rPr>
        <w:t>办理相关手续。</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第八条</w:t>
      </w:r>
      <w:r>
        <w:rPr>
          <w:rFonts w:hint="eastAsia" w:ascii="仿宋" w:hAnsi="仿宋" w:eastAsia="仿宋"/>
          <w:sz w:val="32"/>
          <w:szCs w:val="32"/>
        </w:rPr>
        <w:t xml:space="preserve"> 学院国有资产处置的审批程序:</w:t>
      </w:r>
    </w:p>
    <w:p>
      <w:pPr>
        <w:pStyle w:val="10"/>
        <w:spacing w:line="568" w:lineRule="exact"/>
        <w:ind w:firstLine="640" w:firstLineChars="200"/>
        <w:jc w:val="both"/>
        <w:rPr>
          <w:rFonts w:ascii="仿宋" w:hAnsi="仿宋" w:eastAsia="仿宋"/>
          <w:sz w:val="32"/>
          <w:szCs w:val="32"/>
        </w:rPr>
      </w:pPr>
      <w:r>
        <w:rPr>
          <w:rFonts w:hint="eastAsia" w:ascii="仿宋" w:hAnsi="仿宋" w:eastAsia="仿宋"/>
          <w:sz w:val="32"/>
          <w:szCs w:val="32"/>
        </w:rPr>
        <w:t>(一)学院申报。学院处置国有资产，</w:t>
      </w:r>
      <w:r>
        <w:rPr>
          <w:rFonts w:hint="eastAsia" w:ascii="仿宋" w:hAnsi="仿宋" w:eastAsia="仿宋" w:cs="仿宋_GB2312"/>
          <w:sz w:val="32"/>
          <w:szCs w:val="32"/>
        </w:rPr>
        <w:t>由使用各科室提交处置申请，</w:t>
      </w:r>
      <w:r>
        <w:rPr>
          <w:rFonts w:hint="eastAsia" w:ascii="仿宋" w:hAnsi="仿宋" w:eastAsia="仿宋"/>
          <w:sz w:val="32"/>
          <w:szCs w:val="32"/>
        </w:rPr>
        <w:t>填写《西双版纳州行政事业单位国有资产处置申请表》，并附相关材料</w:t>
      </w:r>
      <w:r>
        <w:rPr>
          <w:rFonts w:hint="eastAsia" w:ascii="仿宋" w:hAnsi="仿宋" w:eastAsia="仿宋" w:cs="仿宋_GB2312"/>
          <w:sz w:val="32"/>
          <w:szCs w:val="32"/>
        </w:rPr>
        <w:t>，交由资产管理部门审核，按照权限逐级审批，</w:t>
      </w:r>
      <w:r>
        <w:rPr>
          <w:rFonts w:hint="eastAsia" w:ascii="仿宋" w:hAnsi="仿宋" w:eastAsia="仿宋"/>
          <w:sz w:val="32"/>
          <w:szCs w:val="32"/>
        </w:rPr>
        <w:t>以正式文件向主管部门申报。</w:t>
      </w:r>
    </w:p>
    <w:p>
      <w:pPr>
        <w:pStyle w:val="10"/>
        <w:spacing w:line="568" w:lineRule="exact"/>
        <w:ind w:firstLine="640" w:firstLineChars="200"/>
        <w:jc w:val="both"/>
        <w:rPr>
          <w:rFonts w:ascii="仿宋" w:hAnsi="仿宋" w:eastAsia="仿宋"/>
          <w:sz w:val="32"/>
          <w:szCs w:val="32"/>
        </w:rPr>
      </w:pPr>
      <w:r>
        <w:rPr>
          <w:rFonts w:hint="eastAsia" w:ascii="仿宋" w:hAnsi="仿宋" w:eastAsia="仿宋"/>
          <w:sz w:val="32"/>
          <w:szCs w:val="32"/>
        </w:rPr>
        <w:t>(二)主管部门审核。主管部门对学院的申报处置材料进行合规性、真实性等审核后，报州</w:t>
      </w:r>
      <w:r>
        <w:rPr>
          <w:rFonts w:hint="eastAsia" w:ascii="仿宋" w:hAnsi="仿宋" w:eastAsia="仿宋"/>
          <w:sz w:val="32"/>
          <w:szCs w:val="32"/>
          <w:lang w:val="en-US" w:eastAsia="zh-CN"/>
        </w:rPr>
        <w:t>机关事务局</w:t>
      </w:r>
      <w:r>
        <w:rPr>
          <w:rFonts w:hint="eastAsia" w:ascii="仿宋" w:hAnsi="仿宋" w:eastAsia="仿宋"/>
          <w:sz w:val="32"/>
          <w:szCs w:val="32"/>
        </w:rPr>
        <w:t>审批。</w:t>
      </w:r>
    </w:p>
    <w:p>
      <w:pPr>
        <w:keepNext w:val="0"/>
        <w:keepLines w:val="0"/>
        <w:widowControl/>
        <w:suppressLineNumbers w:val="0"/>
        <w:ind w:firstLine="640" w:firstLineChars="200"/>
        <w:jc w:val="left"/>
        <w:rPr>
          <w:rFonts w:hint="eastAsia"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val="en-US" w:eastAsia="zh-CN"/>
        </w:rPr>
        <w:t>三</w:t>
      </w:r>
      <w:r>
        <w:rPr>
          <w:rFonts w:hint="eastAsia" w:ascii="仿宋" w:hAnsi="仿宋" w:eastAsia="仿宋"/>
          <w:sz w:val="32"/>
          <w:szCs w:val="32"/>
        </w:rPr>
        <w:t>)</w:t>
      </w:r>
      <w:r>
        <w:rPr>
          <w:rFonts w:hint="eastAsia" w:ascii="仿宋" w:hAnsi="仿宋" w:eastAsia="仿宋"/>
          <w:sz w:val="32"/>
          <w:szCs w:val="32"/>
          <w:lang w:val="en-US" w:eastAsia="zh-CN"/>
        </w:rPr>
        <w:t>州机关事务局</w:t>
      </w:r>
      <w:r>
        <w:rPr>
          <w:rFonts w:hint="eastAsia" w:ascii="仿宋" w:hAnsi="仿宋" w:eastAsia="仿宋"/>
          <w:sz w:val="32"/>
          <w:szCs w:val="32"/>
        </w:rPr>
        <w:t>审批。州</w:t>
      </w:r>
      <w:r>
        <w:rPr>
          <w:rFonts w:hint="eastAsia" w:ascii="仿宋" w:hAnsi="仿宋" w:eastAsia="仿宋"/>
          <w:sz w:val="32"/>
          <w:szCs w:val="32"/>
          <w:lang w:val="en-US" w:eastAsia="zh-CN"/>
        </w:rPr>
        <w:t>机关事务局</w:t>
      </w:r>
      <w:r>
        <w:rPr>
          <w:rFonts w:hint="eastAsia" w:ascii="仿宋" w:hAnsi="仿宋" w:eastAsia="仿宋"/>
          <w:sz w:val="32"/>
          <w:szCs w:val="32"/>
        </w:rPr>
        <w:t>对主管部门报送的国有资产处置事项进行审核批复，数量较大的国有资产处置，财政部门将对国有资产处置有关情况进行实地核查。</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(四）评估备案与核准。学院应主动与</w:t>
      </w:r>
      <w:r>
        <w:rPr>
          <w:rFonts w:hint="eastAsia" w:ascii="仿宋" w:hAnsi="仿宋" w:eastAsia="仿宋"/>
          <w:sz w:val="32"/>
          <w:szCs w:val="32"/>
          <w:lang w:val="en-US" w:eastAsia="zh-CN"/>
        </w:rPr>
        <w:t>主管</w:t>
      </w:r>
      <w:r>
        <w:rPr>
          <w:rFonts w:hint="eastAsia" w:ascii="仿宋" w:hAnsi="仿宋" w:eastAsia="仿宋"/>
          <w:sz w:val="32"/>
          <w:szCs w:val="32"/>
        </w:rPr>
        <w:t>部门联系，统一委托具有资产评估资质的评估机构对国有资产进行评估，评估结果按本办法第七条规定权限报财政部门、主管部门备案或核准。</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(五）公开处置。学院对申报处置的国有资产，按照学院申报</w:t>
      </w:r>
      <w:r>
        <w:rPr>
          <w:rFonts w:hint="eastAsia" w:ascii="仿宋" w:hAnsi="仿宋" w:eastAsia="仿宋"/>
          <w:sz w:val="32"/>
          <w:szCs w:val="32"/>
          <w:lang w:val="en-US" w:eastAsia="zh-CN"/>
        </w:rPr>
        <w:t>→</w:t>
      </w:r>
      <w:r>
        <w:rPr>
          <w:rFonts w:hint="eastAsia" w:ascii="仿宋" w:hAnsi="仿宋" w:eastAsia="仿宋"/>
          <w:sz w:val="32"/>
          <w:szCs w:val="32"/>
        </w:rPr>
        <w:t>主管部门审核</w:t>
      </w:r>
      <w:r>
        <w:rPr>
          <w:rFonts w:hint="eastAsia" w:ascii="仿宋" w:hAnsi="仿宋" w:eastAsia="仿宋"/>
          <w:sz w:val="32"/>
          <w:szCs w:val="32"/>
          <w:lang w:val="en-US" w:eastAsia="zh-CN"/>
        </w:rPr>
        <w:t>→</w:t>
      </w:r>
      <w:r>
        <w:rPr>
          <w:rFonts w:hint="eastAsia" w:ascii="仿宋" w:hAnsi="仿宋" w:eastAsia="仿宋"/>
          <w:sz w:val="32"/>
          <w:szCs w:val="32"/>
        </w:rPr>
        <w:t>州级财政部门（或州</w:t>
      </w:r>
      <w:r>
        <w:rPr>
          <w:rFonts w:hint="eastAsia" w:ascii="仿宋" w:hAnsi="仿宋" w:eastAsia="仿宋"/>
          <w:sz w:val="32"/>
          <w:szCs w:val="32"/>
          <w:lang w:val="en-US" w:eastAsia="zh-CN"/>
        </w:rPr>
        <w:t>机关事务管理部门</w:t>
      </w:r>
      <w:r>
        <w:rPr>
          <w:rFonts w:hint="eastAsia" w:ascii="仿宋" w:hAnsi="仿宋" w:eastAsia="仿宋"/>
          <w:sz w:val="32"/>
          <w:szCs w:val="32"/>
        </w:rPr>
        <w:t>）审批</w:t>
      </w:r>
      <w:r>
        <w:rPr>
          <w:rFonts w:hint="eastAsia" w:ascii="仿宋" w:hAnsi="仿宋" w:eastAsia="仿宋"/>
          <w:sz w:val="32"/>
          <w:szCs w:val="32"/>
          <w:lang w:val="en-US" w:eastAsia="zh-CN"/>
        </w:rPr>
        <w:t>→</w:t>
      </w:r>
      <w:r>
        <w:rPr>
          <w:rFonts w:hint="eastAsia" w:ascii="仿宋" w:hAnsi="仿宋" w:eastAsia="仿宋"/>
          <w:sz w:val="32"/>
          <w:szCs w:val="32"/>
        </w:rPr>
        <w:t>评估备案与核准</w:t>
      </w:r>
      <w:r>
        <w:rPr>
          <w:rFonts w:hint="eastAsia" w:ascii="仿宋" w:hAnsi="仿宋" w:eastAsia="仿宋"/>
          <w:sz w:val="32"/>
          <w:szCs w:val="32"/>
          <w:lang w:val="en-US" w:eastAsia="zh-CN"/>
        </w:rPr>
        <w:t>→</w:t>
      </w:r>
      <w:r>
        <w:rPr>
          <w:rFonts w:hint="eastAsia" w:ascii="仿宋" w:hAnsi="仿宋" w:eastAsia="仿宋"/>
          <w:sz w:val="32"/>
          <w:szCs w:val="32"/>
        </w:rPr>
        <w:t>公开处置的程序进行。拟出售、出让、转让的资产处置事项，统一由州级财政部门委托拍卖机构（交易机构）按有关规定公开处置。</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由主管部门审批的学院处置规定限额以下的国有资产，按照学院申报</w:t>
      </w:r>
      <w:r>
        <w:rPr>
          <w:rFonts w:hint="eastAsia" w:ascii="仿宋" w:hAnsi="仿宋" w:eastAsia="仿宋"/>
          <w:sz w:val="32"/>
          <w:szCs w:val="32"/>
          <w:lang w:val="en-US" w:eastAsia="zh-CN"/>
        </w:rPr>
        <w:t>→</w:t>
      </w:r>
      <w:r>
        <w:rPr>
          <w:rFonts w:hint="eastAsia" w:ascii="仿宋" w:hAnsi="仿宋" w:eastAsia="仿宋"/>
          <w:sz w:val="32"/>
          <w:szCs w:val="32"/>
        </w:rPr>
        <w:t>主管部门审批</w:t>
      </w:r>
      <w:r>
        <w:rPr>
          <w:rFonts w:hint="eastAsia" w:ascii="仿宋" w:hAnsi="仿宋" w:eastAsia="仿宋"/>
          <w:sz w:val="32"/>
          <w:szCs w:val="32"/>
          <w:lang w:val="en-US" w:eastAsia="zh-CN"/>
        </w:rPr>
        <w:t>→</w:t>
      </w:r>
      <w:r>
        <w:rPr>
          <w:rFonts w:hint="eastAsia" w:ascii="仿宋" w:hAnsi="仿宋" w:eastAsia="仿宋"/>
          <w:sz w:val="32"/>
          <w:szCs w:val="32"/>
        </w:rPr>
        <w:t>评估备案与核准</w:t>
      </w:r>
      <w:r>
        <w:rPr>
          <w:rFonts w:hint="eastAsia" w:ascii="仿宋" w:hAnsi="仿宋" w:eastAsia="仿宋"/>
          <w:sz w:val="32"/>
          <w:szCs w:val="32"/>
          <w:lang w:val="en-US" w:eastAsia="zh-CN"/>
        </w:rPr>
        <w:t>→</w:t>
      </w:r>
      <w:r>
        <w:rPr>
          <w:rFonts w:hint="eastAsia" w:ascii="仿宋" w:hAnsi="仿宋" w:eastAsia="仿宋"/>
          <w:sz w:val="32"/>
          <w:szCs w:val="32"/>
        </w:rPr>
        <w:t>公开处置的程序进行，同时报财政部门备案。</w:t>
      </w:r>
    </w:p>
    <w:p>
      <w:pPr>
        <w:spacing w:line="560" w:lineRule="exact"/>
        <w:jc w:val="center"/>
        <w:rPr>
          <w:rFonts w:ascii="黑体" w:hAnsi="黑体" w:eastAsia="黑体"/>
          <w:sz w:val="32"/>
          <w:szCs w:val="32"/>
        </w:rPr>
      </w:pPr>
      <w:r>
        <w:rPr>
          <w:rFonts w:hint="eastAsia" w:ascii="黑体" w:hAnsi="黑体" w:eastAsia="黑体"/>
          <w:sz w:val="32"/>
          <w:szCs w:val="32"/>
        </w:rPr>
        <w:t>第三章无偿调拨（划转）和捐赠</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第九条</w:t>
      </w:r>
      <w:r>
        <w:rPr>
          <w:rFonts w:hint="eastAsia" w:ascii="仿宋" w:hAnsi="仿宋" w:eastAsia="仿宋"/>
          <w:sz w:val="32"/>
          <w:szCs w:val="32"/>
        </w:rPr>
        <w:t xml:space="preserve"> 无偿调拨(划转)是指在不改变国有资产性质的前提下，以无偿转让的方式变更国有资产占有、使用权的行为。</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第十条</w:t>
      </w:r>
      <w:r>
        <w:rPr>
          <w:rFonts w:hint="eastAsia" w:ascii="仿宋" w:hAnsi="仿宋" w:eastAsia="仿宋"/>
          <w:sz w:val="32"/>
          <w:szCs w:val="32"/>
        </w:rPr>
        <w:t xml:space="preserve"> 无偿调拨（划转）的资产包括:</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(一）长期闲置不用、低效运转、超标准配置的资产;</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(二）因单位撤销、合并、分立而移交的资产;</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(三）隶属关系改变，上划、下划的资产;</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(四）其他需调拨（划转）的资产。</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第十一条</w:t>
      </w:r>
      <w:r>
        <w:rPr>
          <w:rFonts w:hint="eastAsia" w:ascii="仿宋" w:hAnsi="仿宋" w:eastAsia="仿宋"/>
          <w:sz w:val="32"/>
          <w:szCs w:val="32"/>
        </w:rPr>
        <w:t xml:space="preserve"> 无偿调拨（划转）应当按以下程序办理:</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(一)同一部门所属行政事业单位之间、事业单位与行政单位之间以及事业单位对企业的国有资产无偿调拨（划转)，按本实施细则第七条规定权限审批。</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二)跨部门国有资产的无偿调拨（划转)。划出方和接收方协调一致（附意向性协议)，分别报主管部门审核同意后，由划出方主管部门报财政部门审批，并附接收方主管部门同意无偿调拨（划转）的有关文件或意见。</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三）跨级次国有资产的无偿调拨（划转)。学院国有资产无偿调拨（划转）给上级或下级单位的，应附上级或下级单位和财政部门同意接收的相关文件或意见，由学院主管部门报财政部门审批;上级或下级单位国有资产无偿调拨（划转)给学院的，经上级或下级单位同级财政部门审批后，办理国有资产无偿调拨（划转）手续，学院应将接收资产的有关情况报主管部门和财政部门备案。</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第十二条</w:t>
      </w:r>
      <w:r>
        <w:rPr>
          <w:rFonts w:hint="eastAsia" w:ascii="仿宋" w:hAnsi="仿宋" w:eastAsia="仿宋"/>
          <w:sz w:val="32"/>
          <w:szCs w:val="32"/>
        </w:rPr>
        <w:t xml:space="preserve"> 学院申请国有资产无偿调拨(划转)。应提交以下材料:</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(一)无偿调拨（划转）申请文件;</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(二)《西双版纳州行政事业单位国有资产处置申请表》;</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(三）资产价值凭证及产权证明，如购货发票或收据、工程决算副本、国有土地使用权证、房屋所有权证、股权证等凭据的复印件（加盖单位公章);</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(四）因单位撤销、合并、分立而移交资产的，需提供撤销、合并、分立的批文;</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(五)拟无偿调拔（划转）国有资产的名称、数量、规格、单价等清单;</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(六）其他相关材料。</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第十三条</w:t>
      </w:r>
      <w:r>
        <w:rPr>
          <w:rFonts w:hint="eastAsia" w:ascii="仿宋" w:hAnsi="仿宋" w:eastAsia="仿宋"/>
          <w:sz w:val="32"/>
          <w:szCs w:val="32"/>
        </w:rPr>
        <w:t xml:space="preserve"> 对外捐赠是指学院依照《中华人民共和国公益寡业捐赠法》，自愿无偿将其有权处分的合法财产赠与给合法的受赠人的行为，包括实物资产捐赠、无形资产捐赠和货币性资产捐赠等。</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第十四条</w:t>
      </w:r>
      <w:r>
        <w:rPr>
          <w:rFonts w:hint="eastAsia" w:ascii="仿宋" w:hAnsi="仿宋" w:eastAsia="仿宋"/>
          <w:sz w:val="32"/>
          <w:szCs w:val="32"/>
        </w:rPr>
        <w:t xml:space="preserve"> 学院国有资产对外捐赠，应提交以下材料:</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(一）对外捐赠申请文件;</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(二)《西双版纳州行政事业单位国有资产处置申请表》；</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(三）捐赠报告，包括:捐赠事由、途径、方式、责任人、资产构成及其数额、交接程序等;</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(四）学院需出具的捐赠事项对本单位财务状况和业务活动影响的分析报告，使用货币资金对外捐赠的，应提供货币资金的来源说明等;</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(五）主管部门、学院决定捐赠事项的有关文件;</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(六）能够证明捐赠资产价值的有效凭证，如购货发票或收据、工程决算副本、记账凭证、固定资产卡片及产权证明等凭据的复印件（加盖学院公章);</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(七）其他相关材料。</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第十五条</w:t>
      </w:r>
      <w:r>
        <w:rPr>
          <w:rFonts w:hint="eastAsia" w:ascii="仿宋" w:hAnsi="仿宋" w:eastAsia="仿宋"/>
          <w:sz w:val="32"/>
          <w:szCs w:val="32"/>
        </w:rPr>
        <w:t xml:space="preserve"> 实际发生的对外捐赠，应当依据受赠方出具的同级财政部门或主管部门统一印（监）制的捐赠收据或者捐赠资产交接清单确认;对无法索取同级财政部门或主管部门统一印（监）制的捐赠收据的，应当依据受赠方所在地城镇街道、乡镇等基层政府组织出具的证明确认。</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第十六条</w:t>
      </w:r>
      <w:r>
        <w:rPr>
          <w:rFonts w:hint="eastAsia" w:ascii="仿宋" w:hAnsi="仿宋" w:eastAsia="仿宋"/>
          <w:sz w:val="32"/>
          <w:szCs w:val="32"/>
        </w:rPr>
        <w:t xml:space="preserve"> 学院接受捐赠的国有资产，应及时办理入账手续，并报主管部门和财政部门备案。</w:t>
      </w:r>
    </w:p>
    <w:p>
      <w:pPr>
        <w:spacing w:line="560" w:lineRule="exact"/>
        <w:jc w:val="center"/>
        <w:rPr>
          <w:rFonts w:ascii="黑体" w:hAnsi="黑体" w:eastAsia="黑体"/>
          <w:sz w:val="32"/>
          <w:szCs w:val="32"/>
        </w:rPr>
      </w:pPr>
      <w:r>
        <w:rPr>
          <w:rFonts w:hint="eastAsia" w:ascii="黑体" w:hAnsi="黑体" w:eastAsia="黑体"/>
          <w:sz w:val="32"/>
          <w:szCs w:val="32"/>
        </w:rPr>
        <w:t>第四章 出售、出让、转让和置换</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第十七条</w:t>
      </w:r>
      <w:r>
        <w:rPr>
          <w:rFonts w:hint="eastAsia" w:ascii="仿宋" w:hAnsi="仿宋" w:eastAsia="仿宋"/>
          <w:sz w:val="32"/>
          <w:szCs w:val="32"/>
        </w:rPr>
        <w:t xml:space="preserve"> 出售、出让、转让是指变更学院国有资产所有权或占有、使用权并取得相应收益的行为。</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第十八条</w:t>
      </w:r>
      <w:r>
        <w:rPr>
          <w:rFonts w:hint="eastAsia" w:ascii="仿宋" w:hAnsi="仿宋" w:eastAsia="仿宋"/>
          <w:sz w:val="32"/>
          <w:szCs w:val="32"/>
        </w:rPr>
        <w:t xml:space="preserve"> 学院国有资产出售、出让、转让，应当通过公开拍卖、产权交易机构、证券交易系统、协议方式以及国家法律、行政法规规定的其他方式进行。学院国有资产出售、出让、转让应当严格控制直接协议方式。</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第十九条</w:t>
      </w:r>
      <w:r>
        <w:rPr>
          <w:rFonts w:hint="eastAsia" w:ascii="仿宋" w:hAnsi="仿宋" w:eastAsia="仿宋"/>
          <w:sz w:val="32"/>
          <w:szCs w:val="32"/>
        </w:rPr>
        <w:t xml:space="preserve"> 学院国有资产出售、出让、转让，以按规定权限由州级财政部门、主管部门备案或核准的资产评估报告所确认的评估价值作为市场竞价的参考依据，意向交易价格低于评估结果90%的，应当按规定权限报州财政部门或主管部门重新确认后交易。</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第二十条</w:t>
      </w:r>
      <w:r>
        <w:rPr>
          <w:rFonts w:hint="eastAsia" w:ascii="仿宋" w:hAnsi="仿宋" w:eastAsia="仿宋"/>
          <w:sz w:val="32"/>
          <w:szCs w:val="32"/>
        </w:rPr>
        <w:t xml:space="preserve"> 学院申请出售、出让、转让国有资产，应提交以下材料:</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(一）出售、出让、转让申请正式文件，附学院集体研究决定事项文书（会议纪要）及主管部门审核意见;</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(二)《西双版纳州行政事业单位国有资产处置申请表》；</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(三）资产价值凭证及产权证明，如购货发票或收据、工程决算副本、国有土地使用权证、房屋所有权证、股权证、行车证等凭据的复印件（加盖学院公章);</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(四）资产评估事务所提供的评估报告;</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(五）出售、出让、转让合同草案、方案（包括资产的基本情况，处置的原因、方式等);</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(六)属于股权转让的，还应提交股权转让可行性报告;</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 xml:space="preserve">(七）涉及房地产的，需提供规划部门用地、拆迁许可及州人民政府或有关部门其他相关文件、会议纪要等;涉及房屋拆迁的，还需提供市政规划部门的土地使用、房屋拆迁许可(项目选址意见书、红线控制图)、拆迁宣传册（或公告书)，含补偿标准、政策等内容,双方初步议定的政策标准内及额外争取的补偿情况的说明、拆迁协议; </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八）涉及车辆处置的，公务用车原则上使用年限需满10年或行车里程达到25万公里，方可申请处置，交易完成后提供收款收据、过户登记表、竟拍结果确认通知书（车辆转让协议书);车辆报废需提供报废车辆照片、机动车注销证明书、报废汽车回收证明;</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 xml:space="preserve"> (九）其他相关材料。</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第二十一条</w:t>
      </w:r>
      <w:r>
        <w:rPr>
          <w:rFonts w:hint="eastAsia" w:ascii="仿宋" w:hAnsi="仿宋" w:eastAsia="仿宋"/>
          <w:sz w:val="32"/>
          <w:szCs w:val="32"/>
        </w:rPr>
        <w:t xml:space="preserve"> 置换是指学院与其他单位以非货币性资产为主进行的交换。这种交换不涉及或只涉及少量的货币性资产（即补价)。</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第二十二条</w:t>
      </w:r>
      <w:r>
        <w:rPr>
          <w:rFonts w:hint="eastAsia" w:ascii="仿宋" w:hAnsi="仿宋" w:eastAsia="仿宋"/>
          <w:sz w:val="32"/>
          <w:szCs w:val="32"/>
        </w:rPr>
        <w:t xml:space="preserve"> 学院申请国有资产置换,应提交以下材料:</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(一）置换申请文件;</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(二)《西双版纳州行政事业单位国有资产处置申请表》;</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(三）资产价值凭证及产权证明，如购货发票或收据、工程决算副本、国有土地使用权证、房屋所有权证、股权证等凭据的复印件（加盖学院公章);</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(四）对方单位拟用于置换资产的基本情况说明、是否已被设置为担保物等;</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(五）双方草签的置换协议;</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 xml:space="preserve">(六）对方单位的法人证书或营业执照的复印件（加盖单位公章); </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(七）学院近期的财务报告;</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(八）其他相关材料。</w:t>
      </w:r>
    </w:p>
    <w:p>
      <w:pPr>
        <w:spacing w:line="560" w:lineRule="exact"/>
        <w:jc w:val="center"/>
        <w:rPr>
          <w:rFonts w:ascii="黑体" w:hAnsi="黑体" w:eastAsia="黑体"/>
          <w:sz w:val="32"/>
          <w:szCs w:val="32"/>
        </w:rPr>
      </w:pPr>
      <w:r>
        <w:rPr>
          <w:rFonts w:hint="eastAsia" w:ascii="黑体" w:hAnsi="黑体" w:eastAsia="黑体"/>
          <w:sz w:val="32"/>
          <w:szCs w:val="32"/>
        </w:rPr>
        <w:t>第五章 报废报损和核销</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 xml:space="preserve">第二十三条 </w:t>
      </w:r>
      <w:r>
        <w:rPr>
          <w:rFonts w:hint="eastAsia" w:ascii="仿宋" w:hAnsi="仿宋" w:eastAsia="仿宋"/>
          <w:sz w:val="32"/>
          <w:szCs w:val="32"/>
        </w:rPr>
        <w:t>报废是指按有关规定或经有关部门、专家鉴定，对已不能继续使用的资产，进行产权注销的资产处置行为。</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第二十四条</w:t>
      </w:r>
      <w:r>
        <w:rPr>
          <w:rFonts w:hint="eastAsia" w:ascii="仿宋" w:hAnsi="仿宋" w:eastAsia="仿宋"/>
          <w:sz w:val="32"/>
          <w:szCs w:val="32"/>
        </w:rPr>
        <w:t xml:space="preserve"> 报损是指由于发生呆账损失、非正常损失等原因，按有关规定对资产损失进行产权注销的资产处置行为。</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第二十五条</w:t>
      </w:r>
      <w:r>
        <w:rPr>
          <w:rFonts w:hint="eastAsia" w:ascii="仿宋" w:hAnsi="仿宋" w:eastAsia="仿宋"/>
          <w:sz w:val="32"/>
          <w:szCs w:val="32"/>
        </w:rPr>
        <w:t xml:space="preserve"> 学院申请国有资产报废、报损,应提交以下材料:</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(一)报废、报损申请文件;</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(二)《西双版纳州行政事业单位国有资产处置申请表》;</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(三）能够证明盘亏、毁损以及非正常损失资产价值的有效凭证。如购货发票或收据、工程决算副本、记账凭证、固定资产卡片、盘点表及产权证明等凭据的复印件（加盖学院公章);</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(四）报废、报损价值清单;</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(五）非正常损失责任事故的鉴定文件及对责任者的处理文件;</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(六）因房屋拆除等原因需办理资产核销手续的，提交相关职能部门的房屋拆除批复文件、建设项目拆建立项文件、双方签定的房屋拆迁补偿协议;</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(七)其他相关材料。</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第二十六条</w:t>
      </w:r>
      <w:r>
        <w:rPr>
          <w:rFonts w:hint="eastAsia" w:ascii="仿宋" w:hAnsi="仿宋" w:eastAsia="仿宋"/>
          <w:sz w:val="32"/>
          <w:szCs w:val="32"/>
        </w:rPr>
        <w:t xml:space="preserve"> 学院国有资产对外投资、担保(抵押）发生损失申请损失处置的，应提交以下材料:</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(一</w:t>
      </w:r>
      <w:r>
        <w:rPr>
          <w:rFonts w:ascii="仿宋" w:hAnsi="仿宋" w:eastAsia="仿宋"/>
          <w:sz w:val="32"/>
          <w:szCs w:val="32"/>
        </w:rPr>
        <w:t>）</w:t>
      </w:r>
      <w:r>
        <w:rPr>
          <w:rFonts w:hint="eastAsia" w:ascii="仿宋" w:hAnsi="仿宋" w:eastAsia="仿宋"/>
          <w:sz w:val="32"/>
          <w:szCs w:val="32"/>
        </w:rPr>
        <w:t>对外投资、担保（抵押）损失处置申请文件;</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(二)《西双版纳州行政事业单位国有资产处置申请表》;</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(三）被投资单位的清算审计报告及注销文件;</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(四）债权或股权凭证、形成呆坏账的情况说明和具有法定依据的证明材料;</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(五）申请仲裁或提起诉讼的，提交相关法律文书;</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(六）其他相关材料。</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第二十七条</w:t>
      </w:r>
      <w:r>
        <w:rPr>
          <w:rFonts w:hint="eastAsia" w:ascii="仿宋" w:hAnsi="仿宋" w:eastAsia="仿宋"/>
          <w:sz w:val="32"/>
          <w:szCs w:val="32"/>
        </w:rPr>
        <w:t xml:space="preserve"> 货币性资产损失核销是指学院按现行财务与会计制度，对确认形成损失的货币性资产（现金、银行存款、应收账款、应收票据等）进行核销的行为。</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 xml:space="preserve">第二十八条 </w:t>
      </w:r>
      <w:r>
        <w:rPr>
          <w:rFonts w:hint="eastAsia" w:ascii="仿宋" w:hAnsi="仿宋" w:eastAsia="仿宋"/>
          <w:sz w:val="32"/>
          <w:szCs w:val="32"/>
        </w:rPr>
        <w:t>学院申请货币性资产损失核销，应提交以下材料:</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(一）货币性资产损失核销申请文件;</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(二)《西双版纳州行政事业单位国有资产处置申请表》;</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(三）债务人已被依法宣告破产、撤销、关闭，用债务人清算财产清偿后仍不能弥补损失的，提供宣告破产的民事裁定书以及财产清算报告、注销工商登记或吊销营业执照的证明、政府有关部门决定关闭的文件;</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(四）债务人死亡或者依法被宣告失踪、死亡的，提供其财产或遗产不足清偿的法律文件;</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(五）涉及诉讼的，提供判决裁定申报单位败诉的人民法院生效判决书或裁定书,或虽胜诉但因无法执行被裁定终止执行的法律文件。</w:t>
      </w:r>
    </w:p>
    <w:p>
      <w:pPr>
        <w:spacing w:line="560" w:lineRule="exact"/>
        <w:jc w:val="center"/>
        <w:rPr>
          <w:rFonts w:ascii="黑体" w:hAnsi="黑体" w:eastAsia="黑体"/>
          <w:sz w:val="32"/>
          <w:szCs w:val="32"/>
        </w:rPr>
      </w:pPr>
      <w:r>
        <w:rPr>
          <w:rFonts w:hint="eastAsia" w:ascii="黑体" w:hAnsi="黑体" w:eastAsia="黑体"/>
          <w:sz w:val="32"/>
          <w:szCs w:val="32"/>
        </w:rPr>
        <w:t>第六章 处置收入和支出管理</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第二十九条</w:t>
      </w:r>
      <w:r>
        <w:rPr>
          <w:rFonts w:hint="eastAsia" w:ascii="仿宋" w:hAnsi="仿宋" w:eastAsia="仿宋"/>
          <w:sz w:val="32"/>
          <w:szCs w:val="32"/>
        </w:rPr>
        <w:t xml:space="preserve"> 处置收入是指在出售、出让、转让、置换、报废报损等处置国有资产过程中获得的收入，包括出售实物资产和无形资产的收入、置换差价收入、报废报损残值变价收入、保险理赔收入、转让土地使用权收益等。</w:t>
      </w:r>
    </w:p>
    <w:p>
      <w:pPr>
        <w:keepNext w:val="0"/>
        <w:keepLines w:val="0"/>
        <w:widowControl/>
        <w:suppressLineNumbers w:val="0"/>
        <w:ind w:firstLine="643" w:firstLineChars="200"/>
        <w:jc w:val="left"/>
        <w:rPr>
          <w:rFonts w:hint="default" w:ascii="仿宋" w:hAnsi="仿宋" w:eastAsia="仿宋"/>
          <w:sz w:val="32"/>
          <w:szCs w:val="32"/>
          <w:lang w:val="en-US"/>
        </w:rPr>
      </w:pPr>
      <w:r>
        <w:rPr>
          <w:rFonts w:hint="eastAsia" w:ascii="仿宋" w:hAnsi="仿宋" w:eastAsia="仿宋"/>
          <w:b/>
          <w:sz w:val="32"/>
          <w:szCs w:val="32"/>
        </w:rPr>
        <w:t>第三十条</w:t>
      </w:r>
      <w:r>
        <w:rPr>
          <w:rFonts w:hint="eastAsia" w:ascii="仿宋" w:hAnsi="仿宋" w:eastAsia="仿宋"/>
          <w:sz w:val="32"/>
          <w:szCs w:val="32"/>
        </w:rPr>
        <w:t xml:space="preserve"> </w:t>
      </w:r>
      <w:r>
        <w:rPr>
          <w:rFonts w:hint="eastAsia" w:ascii="仿宋" w:hAnsi="仿宋" w:eastAsia="仿宋"/>
          <w:sz w:val="32"/>
          <w:szCs w:val="32"/>
          <w:lang w:val="en-US" w:eastAsia="zh-CN"/>
        </w:rPr>
        <w:t>转化科技成果所获得的收益全部留归本单位，纳入单位预算，不上缴国库，主要用于对完成和转化职务科技成果做出重要贡献人员的奖励和报酬、科学技术研发与成果转化等相关工作。</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第三十一条</w:t>
      </w:r>
      <w:r>
        <w:rPr>
          <w:rFonts w:hint="eastAsia" w:ascii="仿宋" w:hAnsi="仿宋" w:eastAsia="仿宋"/>
          <w:sz w:val="32"/>
          <w:szCs w:val="32"/>
        </w:rPr>
        <w:t xml:space="preserve"> 学院利用国有资产对外投资形成的股权（权益）的出售、出让、转让收入，扣除税金、评估费等相关费用后，上缴州级国库，实行“收支两条线”管理。</w:t>
      </w:r>
    </w:p>
    <w:p>
      <w:pPr>
        <w:keepNext w:val="0"/>
        <w:keepLines w:val="0"/>
        <w:widowControl/>
        <w:suppressLineNumbers w:val="0"/>
        <w:ind w:firstLine="643" w:firstLineChars="200"/>
        <w:jc w:val="left"/>
        <w:rPr>
          <w:rFonts w:hint="eastAsia" w:ascii="仿宋" w:hAnsi="仿宋" w:eastAsia="仿宋"/>
          <w:sz w:val="32"/>
          <w:szCs w:val="32"/>
        </w:rPr>
      </w:pPr>
      <w:r>
        <w:rPr>
          <w:rFonts w:hint="eastAsia" w:ascii="仿宋" w:hAnsi="仿宋" w:eastAsia="仿宋"/>
          <w:b/>
          <w:sz w:val="32"/>
          <w:szCs w:val="32"/>
        </w:rPr>
        <w:t>第三十二条</w:t>
      </w:r>
      <w:r>
        <w:rPr>
          <w:rFonts w:hint="eastAsia" w:ascii="仿宋" w:hAnsi="仿宋" w:eastAsia="仿宋"/>
          <w:sz w:val="32"/>
          <w:szCs w:val="32"/>
        </w:rPr>
        <w:t xml:space="preserve"> 学院</w:t>
      </w:r>
      <w:r>
        <w:rPr>
          <w:rFonts w:hint="eastAsia" w:ascii="仿宋" w:hAnsi="仿宋" w:eastAsia="仿宋"/>
          <w:sz w:val="32"/>
          <w:szCs w:val="32"/>
          <w:lang w:val="en-US" w:eastAsia="zh-CN"/>
        </w:rPr>
        <w:t>处置已达使用年限并且应淘汰报废的资产（除土地使用权和房屋构筑物外）取得的收益，留归高校，纳入学校预算，统一核算，统一管理。</w:t>
      </w:r>
    </w:p>
    <w:p>
      <w:pPr>
        <w:spacing w:line="560" w:lineRule="exact"/>
        <w:ind w:firstLine="640" w:firstLineChars="200"/>
        <w:rPr>
          <w:rFonts w:ascii="仿宋" w:hAnsi="仿宋" w:eastAsia="仿宋"/>
          <w:sz w:val="32"/>
          <w:szCs w:val="32"/>
        </w:rPr>
      </w:pPr>
    </w:p>
    <w:p>
      <w:pPr>
        <w:spacing w:line="560" w:lineRule="exact"/>
        <w:jc w:val="center"/>
        <w:rPr>
          <w:rFonts w:ascii="黑体" w:hAnsi="黑体" w:eastAsia="黑体"/>
          <w:sz w:val="32"/>
          <w:szCs w:val="32"/>
        </w:rPr>
      </w:pPr>
      <w:r>
        <w:rPr>
          <w:rFonts w:hint="eastAsia" w:ascii="黑体" w:hAnsi="黑体" w:eastAsia="黑体"/>
          <w:sz w:val="32"/>
          <w:szCs w:val="32"/>
        </w:rPr>
        <w:t>第七章 监督管理和法律责任</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第三十三条</w:t>
      </w:r>
      <w:r>
        <w:rPr>
          <w:rFonts w:hint="eastAsia" w:ascii="仿宋" w:hAnsi="仿宋" w:eastAsia="仿宋"/>
          <w:sz w:val="32"/>
          <w:szCs w:val="32"/>
        </w:rPr>
        <w:t xml:space="preserve"> 学院在国有资产处置过程中不得有下列行为:</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(一）未按规定程序申报，擅自越权对国有资产进行处置;</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(二）对不符合规定的申报处置材料予以审批;</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(三）串通作弊、暗箱操作，压价处置国有资产;</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(四）截留资产处置收入;</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(五）其他造成单位资产损失的行为。</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第三十四条</w:t>
      </w:r>
      <w:r>
        <w:rPr>
          <w:rFonts w:hint="eastAsia" w:ascii="仿宋" w:hAnsi="仿宋" w:eastAsia="仿宋"/>
          <w:sz w:val="32"/>
          <w:szCs w:val="32"/>
        </w:rPr>
        <w:t xml:space="preserve"> 学院和个人违反本规定的，应根据《财政违法行为处罚处分条例》(国务院令第427号）等国家有关规定追究法律贵任。</w:t>
      </w:r>
    </w:p>
    <w:p>
      <w:pPr>
        <w:spacing w:line="560" w:lineRule="exact"/>
        <w:jc w:val="center"/>
        <w:rPr>
          <w:rFonts w:ascii="黑体" w:hAnsi="黑体" w:eastAsia="黑体"/>
          <w:sz w:val="32"/>
          <w:szCs w:val="32"/>
        </w:rPr>
      </w:pPr>
      <w:r>
        <w:rPr>
          <w:rFonts w:hint="eastAsia" w:ascii="仿宋" w:hAnsi="仿宋" w:eastAsia="仿宋"/>
          <w:b/>
          <w:sz w:val="32"/>
          <w:szCs w:val="32"/>
        </w:rPr>
        <w:t xml:space="preserve">    第三十五条</w:t>
      </w:r>
      <w:r>
        <w:rPr>
          <w:rFonts w:hint="eastAsia" w:ascii="仿宋" w:hAnsi="仿宋" w:eastAsia="仿宋"/>
          <w:sz w:val="32"/>
          <w:szCs w:val="32"/>
        </w:rPr>
        <w:t xml:space="preserve"> 学院纪检科应对资产处置进行全程监督。</w:t>
      </w:r>
    </w:p>
    <w:p>
      <w:pPr>
        <w:spacing w:line="560" w:lineRule="exact"/>
        <w:jc w:val="center"/>
        <w:rPr>
          <w:rFonts w:ascii="黑体" w:hAnsi="黑体" w:eastAsia="黑体"/>
          <w:sz w:val="32"/>
          <w:szCs w:val="32"/>
        </w:rPr>
      </w:pPr>
      <w:r>
        <w:rPr>
          <w:rFonts w:hint="eastAsia" w:ascii="黑体" w:hAnsi="黑体" w:eastAsia="黑体"/>
          <w:sz w:val="32"/>
          <w:szCs w:val="32"/>
        </w:rPr>
        <w:t>第八章 附则</w:t>
      </w:r>
    </w:p>
    <w:p>
      <w:pPr>
        <w:spacing w:line="560" w:lineRule="exact"/>
        <w:ind w:firstLine="643" w:firstLineChars="200"/>
        <w:rPr>
          <w:rFonts w:ascii="仿宋" w:hAnsi="仿宋" w:eastAsia="仿宋" w:cs="仿宋_GB2312"/>
          <w:sz w:val="32"/>
          <w:szCs w:val="32"/>
        </w:rPr>
      </w:pPr>
      <w:r>
        <w:rPr>
          <w:rFonts w:hint="eastAsia" w:ascii="仿宋" w:hAnsi="仿宋" w:eastAsia="仿宋"/>
          <w:b/>
          <w:sz w:val="32"/>
          <w:szCs w:val="32"/>
        </w:rPr>
        <w:t xml:space="preserve">第三十六条 </w:t>
      </w:r>
      <w:r>
        <w:rPr>
          <w:rFonts w:hint="eastAsia" w:ascii="仿宋" w:hAnsi="仿宋" w:eastAsia="仿宋" w:cs="仿宋_GB2312"/>
          <w:sz w:val="32"/>
          <w:szCs w:val="32"/>
        </w:rPr>
        <w:t>本办法自公布之日起执行。在执行过程中，因上级政策调整而与其不一致的，以上级相关规定为准。</w:t>
      </w:r>
    </w:p>
    <w:p>
      <w:pPr>
        <w:spacing w:line="560" w:lineRule="exact"/>
        <w:ind w:firstLine="643" w:firstLineChars="200"/>
        <w:rPr>
          <w:rFonts w:hint="eastAsia" w:ascii="仿宋" w:hAnsi="仿宋" w:eastAsia="仿宋" w:cs="仿宋_GB2312"/>
          <w:sz w:val="32"/>
          <w:szCs w:val="32"/>
        </w:rPr>
      </w:pPr>
      <w:r>
        <w:rPr>
          <w:rFonts w:hint="eastAsia" w:ascii="仿宋" w:hAnsi="仿宋" w:eastAsia="仿宋"/>
          <w:b/>
          <w:sz w:val="32"/>
          <w:szCs w:val="32"/>
        </w:rPr>
        <w:t xml:space="preserve">第三十七条 </w:t>
      </w:r>
      <w:r>
        <w:rPr>
          <w:rFonts w:hint="eastAsia" w:ascii="仿宋" w:hAnsi="仿宋" w:eastAsia="仿宋" w:cs="仿宋_GB2312"/>
          <w:sz w:val="32"/>
          <w:szCs w:val="32"/>
        </w:rPr>
        <w:t>本办法由资产管理部门负责解释。</w:t>
      </w:r>
    </w:p>
    <w:p>
      <w:pPr>
        <w:spacing w:line="560" w:lineRule="exact"/>
        <w:ind w:firstLine="640" w:firstLineChars="200"/>
        <w:rPr>
          <w:rFonts w:hint="eastAsia" w:ascii="仿宋" w:hAnsi="仿宋" w:eastAsia="仿宋" w:cs="仿宋_GB2312"/>
          <w:sz w:val="32"/>
          <w:szCs w:val="32"/>
        </w:rPr>
      </w:pPr>
    </w:p>
    <w:p>
      <w:pPr>
        <w:spacing w:line="560" w:lineRule="exact"/>
        <w:ind w:firstLine="640" w:firstLineChars="200"/>
        <w:rPr>
          <w:rFonts w:hint="eastAsia" w:ascii="仿宋" w:hAnsi="仿宋" w:eastAsia="仿宋" w:cs="仿宋_GB2312"/>
          <w:sz w:val="32"/>
          <w:szCs w:val="32"/>
        </w:rPr>
      </w:pPr>
    </w:p>
    <w:p>
      <w:pPr>
        <w:spacing w:line="560" w:lineRule="exact"/>
        <w:ind w:firstLine="640" w:firstLineChars="200"/>
        <w:rPr>
          <w:rFonts w:hint="eastAsia" w:ascii="仿宋" w:hAnsi="仿宋" w:eastAsia="仿宋" w:cs="仿宋_GB2312"/>
          <w:sz w:val="32"/>
          <w:szCs w:val="32"/>
        </w:rPr>
      </w:pPr>
    </w:p>
    <w:p>
      <w:pPr>
        <w:spacing w:line="560" w:lineRule="exact"/>
        <w:ind w:firstLine="640" w:firstLineChars="200"/>
        <w:rPr>
          <w:rFonts w:hint="eastAsia" w:ascii="仿宋" w:hAnsi="仿宋" w:eastAsia="仿宋" w:cs="仿宋_GB2312"/>
          <w:sz w:val="32"/>
          <w:szCs w:val="32"/>
        </w:rPr>
      </w:pPr>
    </w:p>
    <w:p>
      <w:pPr>
        <w:spacing w:line="560" w:lineRule="exact"/>
        <w:ind w:firstLine="640" w:firstLineChars="200"/>
        <w:rPr>
          <w:rFonts w:ascii="仿宋" w:hAnsi="仿宋" w:eastAsia="仿宋"/>
          <w:sz w:val="32"/>
          <w:szCs w:val="32"/>
        </w:rPr>
      </w:pPr>
      <w:r>
        <w:rPr>
          <w:rFonts w:ascii="仿宋" w:hAnsi="仿宋" w:eastAsia="仿宋"/>
          <w:sz w:val="32"/>
          <w:szCs w:val="32"/>
        </w:rPr>
        <w:t>附件：西双版纳州行政事业单位国有资产处置申请表</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西双版纳州行政事业单位国有资产划拨申请表</w:t>
      </w:r>
    </w:p>
    <w:p>
      <w:pPr>
        <w:spacing w:line="560" w:lineRule="exact"/>
        <w:ind w:firstLine="640" w:firstLineChars="200"/>
        <w:rPr>
          <w:rFonts w:ascii="仿宋" w:hAnsi="仿宋" w:eastAsia="仿宋"/>
          <w:sz w:val="32"/>
          <w:szCs w:val="32"/>
        </w:rPr>
      </w:pPr>
    </w:p>
    <w:p>
      <w:pPr>
        <w:spacing w:line="560" w:lineRule="exact"/>
        <w:ind w:firstLine="640" w:firstLineChars="200"/>
        <w:rPr>
          <w:rFonts w:ascii="仿宋" w:hAnsi="仿宋" w:eastAsia="仿宋"/>
          <w:sz w:val="32"/>
          <w:szCs w:val="32"/>
        </w:rPr>
      </w:pPr>
    </w:p>
    <w:p>
      <w:pPr>
        <w:spacing w:line="560" w:lineRule="exact"/>
        <w:ind w:firstLine="640" w:firstLineChars="200"/>
        <w:rPr>
          <w:rFonts w:ascii="仿宋" w:hAnsi="仿宋" w:eastAsia="仿宋"/>
          <w:sz w:val="32"/>
          <w:szCs w:val="32"/>
        </w:rPr>
      </w:pPr>
    </w:p>
    <w:p>
      <w:pPr>
        <w:spacing w:line="560" w:lineRule="exact"/>
        <w:ind w:firstLine="640" w:firstLineChars="200"/>
        <w:rPr>
          <w:rFonts w:ascii="仿宋" w:hAnsi="仿宋" w:eastAsia="仿宋"/>
          <w:sz w:val="32"/>
          <w:szCs w:val="32"/>
        </w:rPr>
      </w:pPr>
    </w:p>
    <w:p>
      <w:pPr>
        <w:spacing w:line="560" w:lineRule="exact"/>
        <w:ind w:firstLine="640" w:firstLineChars="200"/>
        <w:rPr>
          <w:rFonts w:ascii="仿宋" w:hAnsi="仿宋" w:eastAsia="仿宋"/>
          <w:sz w:val="32"/>
          <w:szCs w:val="32"/>
        </w:rPr>
      </w:pPr>
    </w:p>
    <w:p>
      <w:pPr>
        <w:spacing w:line="560" w:lineRule="exact"/>
        <w:ind w:firstLine="640" w:firstLineChars="200"/>
        <w:rPr>
          <w:rFonts w:ascii="仿宋" w:hAnsi="仿宋" w:eastAsia="仿宋"/>
          <w:sz w:val="32"/>
          <w:szCs w:val="32"/>
        </w:rPr>
      </w:pPr>
    </w:p>
    <w:p>
      <w:pPr>
        <w:spacing w:line="560" w:lineRule="exact"/>
        <w:ind w:firstLine="640" w:firstLineChars="200"/>
        <w:rPr>
          <w:rFonts w:ascii="仿宋" w:hAnsi="仿宋" w:eastAsia="仿宋"/>
          <w:sz w:val="32"/>
          <w:szCs w:val="32"/>
        </w:rPr>
      </w:pPr>
    </w:p>
    <w:p>
      <w:pPr>
        <w:spacing w:line="560" w:lineRule="exact"/>
        <w:ind w:firstLine="640" w:firstLineChars="200"/>
        <w:rPr>
          <w:rFonts w:ascii="仿宋" w:hAnsi="仿宋" w:eastAsia="仿宋"/>
          <w:sz w:val="32"/>
          <w:szCs w:val="32"/>
        </w:rPr>
      </w:pPr>
    </w:p>
    <w:p>
      <w:pPr>
        <w:spacing w:line="560" w:lineRule="exact"/>
        <w:ind w:firstLine="640" w:firstLineChars="200"/>
        <w:rPr>
          <w:rFonts w:ascii="仿宋" w:hAnsi="仿宋" w:eastAsia="仿宋"/>
          <w:sz w:val="32"/>
          <w:szCs w:val="32"/>
        </w:rPr>
      </w:pPr>
    </w:p>
    <w:p>
      <w:pPr>
        <w:spacing w:line="560" w:lineRule="exact"/>
        <w:ind w:firstLine="640" w:firstLineChars="200"/>
        <w:rPr>
          <w:rFonts w:ascii="仿宋" w:hAnsi="仿宋" w:eastAsia="仿宋"/>
          <w:sz w:val="32"/>
          <w:szCs w:val="32"/>
        </w:rPr>
      </w:pPr>
    </w:p>
    <w:p>
      <w:pPr>
        <w:spacing w:line="560" w:lineRule="exact"/>
        <w:ind w:firstLine="640" w:firstLineChars="200"/>
        <w:rPr>
          <w:rFonts w:ascii="仿宋" w:hAnsi="仿宋" w:eastAsia="仿宋"/>
          <w:sz w:val="32"/>
          <w:szCs w:val="32"/>
        </w:rPr>
      </w:pPr>
    </w:p>
    <w:p>
      <w:pPr>
        <w:spacing w:line="560" w:lineRule="exact"/>
        <w:ind w:firstLine="640" w:firstLineChars="200"/>
        <w:rPr>
          <w:rFonts w:ascii="仿宋" w:hAnsi="仿宋" w:eastAsia="仿宋"/>
          <w:sz w:val="32"/>
          <w:szCs w:val="32"/>
        </w:rPr>
      </w:pPr>
    </w:p>
    <w:p>
      <w:pPr>
        <w:spacing w:line="560" w:lineRule="exact"/>
        <w:ind w:firstLine="640" w:firstLineChars="200"/>
        <w:rPr>
          <w:rFonts w:ascii="仿宋" w:hAnsi="仿宋" w:eastAsia="仿宋"/>
          <w:sz w:val="32"/>
          <w:szCs w:val="32"/>
        </w:rPr>
      </w:pPr>
    </w:p>
    <w:p>
      <w:pPr>
        <w:spacing w:line="560" w:lineRule="exact"/>
        <w:rPr>
          <w:rFonts w:ascii="仿宋" w:hAnsi="仿宋" w:eastAsia="仿宋"/>
          <w:sz w:val="32"/>
          <w:szCs w:val="32"/>
        </w:rPr>
        <w:sectPr>
          <w:pgSz w:w="11906" w:h="16838"/>
          <w:pgMar w:top="1701" w:right="1588" w:bottom="1701" w:left="1588" w:header="851" w:footer="992" w:gutter="0"/>
          <w:cols w:space="425" w:num="1"/>
          <w:docGrid w:type="lines" w:linePitch="312" w:charSpace="0"/>
        </w:sectPr>
      </w:pPr>
    </w:p>
    <w:tbl>
      <w:tblPr>
        <w:tblStyle w:val="5"/>
        <w:tblpPr w:leftFromText="180" w:rightFromText="180" w:vertAnchor="text" w:horzAnchor="page" w:tblpX="921" w:tblpY="96"/>
        <w:tblOverlap w:val="never"/>
        <w:tblW w:w="15340" w:type="dxa"/>
        <w:tblInd w:w="0" w:type="dxa"/>
        <w:tblLayout w:type="fixed"/>
        <w:tblCellMar>
          <w:top w:w="0" w:type="dxa"/>
          <w:left w:w="108" w:type="dxa"/>
          <w:bottom w:w="0" w:type="dxa"/>
          <w:right w:w="108" w:type="dxa"/>
        </w:tblCellMar>
      </w:tblPr>
      <w:tblGrid>
        <w:gridCol w:w="736"/>
        <w:gridCol w:w="1125"/>
        <w:gridCol w:w="803"/>
        <w:gridCol w:w="881"/>
        <w:gridCol w:w="1013"/>
        <w:gridCol w:w="995"/>
        <w:gridCol w:w="1138"/>
        <w:gridCol w:w="661"/>
        <w:gridCol w:w="1324"/>
        <w:gridCol w:w="1279"/>
        <w:gridCol w:w="1135"/>
        <w:gridCol w:w="785"/>
        <w:gridCol w:w="1121"/>
        <w:gridCol w:w="1262"/>
        <w:gridCol w:w="1082"/>
      </w:tblGrid>
      <w:tr>
        <w:tblPrEx>
          <w:tblCellMar>
            <w:top w:w="0" w:type="dxa"/>
            <w:left w:w="108" w:type="dxa"/>
            <w:bottom w:w="0" w:type="dxa"/>
            <w:right w:w="108" w:type="dxa"/>
          </w:tblCellMar>
        </w:tblPrEx>
        <w:trPr>
          <w:trHeight w:val="624" w:hRule="atLeast"/>
        </w:trPr>
        <w:tc>
          <w:tcPr>
            <w:tcW w:w="15340" w:type="dxa"/>
            <w:gridSpan w:val="15"/>
            <w:vMerge w:val="restart"/>
            <w:tcBorders>
              <w:top w:val="nil"/>
              <w:left w:val="nil"/>
              <w:bottom w:val="nil"/>
              <w:right w:val="nil"/>
            </w:tcBorders>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西双版纳州行政事业单位国有资产处置申请表</w:t>
            </w:r>
          </w:p>
        </w:tc>
      </w:tr>
      <w:tr>
        <w:tblPrEx>
          <w:tblCellMar>
            <w:top w:w="0" w:type="dxa"/>
            <w:left w:w="108" w:type="dxa"/>
            <w:bottom w:w="0" w:type="dxa"/>
            <w:right w:w="108" w:type="dxa"/>
          </w:tblCellMar>
        </w:tblPrEx>
        <w:trPr>
          <w:trHeight w:val="624" w:hRule="atLeast"/>
        </w:trPr>
        <w:tc>
          <w:tcPr>
            <w:tcW w:w="15340" w:type="dxa"/>
            <w:gridSpan w:val="15"/>
            <w:vMerge w:val="continue"/>
            <w:tcBorders>
              <w:top w:val="nil"/>
              <w:left w:val="nil"/>
              <w:bottom w:val="nil"/>
              <w:right w:val="nil"/>
            </w:tcBorders>
            <w:vAlign w:val="center"/>
          </w:tcPr>
          <w:p>
            <w:pPr>
              <w:widowControl/>
              <w:jc w:val="left"/>
              <w:rPr>
                <w:rFonts w:ascii="宋体" w:hAnsi="宋体" w:cs="宋体"/>
                <w:color w:val="000000"/>
                <w:kern w:val="0"/>
                <w:sz w:val="28"/>
                <w:szCs w:val="28"/>
              </w:rPr>
            </w:pPr>
          </w:p>
        </w:tc>
      </w:tr>
      <w:tr>
        <w:tblPrEx>
          <w:tblCellMar>
            <w:top w:w="0" w:type="dxa"/>
            <w:left w:w="108" w:type="dxa"/>
            <w:bottom w:w="0" w:type="dxa"/>
            <w:right w:w="108" w:type="dxa"/>
          </w:tblCellMar>
        </w:tblPrEx>
        <w:trPr>
          <w:trHeight w:val="312" w:hRule="atLeast"/>
        </w:trPr>
        <w:tc>
          <w:tcPr>
            <w:tcW w:w="15340" w:type="dxa"/>
            <w:gridSpan w:val="15"/>
            <w:vMerge w:val="restart"/>
            <w:tcBorders>
              <w:top w:val="nil"/>
              <w:left w:val="nil"/>
              <w:bottom w:val="nil"/>
              <w:right w:val="nil"/>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xml:space="preserve">    申报单位：（签章）                                          申报日期：   年   月   日                                        金额：元</w:t>
            </w:r>
          </w:p>
        </w:tc>
      </w:tr>
      <w:tr>
        <w:tblPrEx>
          <w:tblCellMar>
            <w:top w:w="0" w:type="dxa"/>
            <w:left w:w="108" w:type="dxa"/>
            <w:bottom w:w="0" w:type="dxa"/>
            <w:right w:w="108" w:type="dxa"/>
          </w:tblCellMar>
        </w:tblPrEx>
        <w:trPr>
          <w:trHeight w:val="312" w:hRule="atLeast"/>
        </w:trPr>
        <w:tc>
          <w:tcPr>
            <w:tcW w:w="15340" w:type="dxa"/>
            <w:gridSpan w:val="15"/>
            <w:vMerge w:val="continue"/>
            <w:tcBorders>
              <w:top w:val="nil"/>
              <w:left w:val="nil"/>
              <w:bottom w:val="nil"/>
              <w:right w:val="nil"/>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280" w:hRule="atLeast"/>
        </w:trPr>
        <w:tc>
          <w:tcPr>
            <w:tcW w:w="73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序号</w:t>
            </w:r>
          </w:p>
        </w:tc>
        <w:tc>
          <w:tcPr>
            <w:tcW w:w="1125"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资产名称</w:t>
            </w:r>
          </w:p>
        </w:tc>
        <w:tc>
          <w:tcPr>
            <w:tcW w:w="80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资产编号(卡片号)</w:t>
            </w:r>
          </w:p>
        </w:tc>
        <w:tc>
          <w:tcPr>
            <w:tcW w:w="881"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资产分类代码</w:t>
            </w:r>
          </w:p>
        </w:tc>
        <w:tc>
          <w:tcPr>
            <w:tcW w:w="101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规格型号</w:t>
            </w:r>
          </w:p>
        </w:tc>
        <w:tc>
          <w:tcPr>
            <w:tcW w:w="995"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单位</w:t>
            </w:r>
          </w:p>
        </w:tc>
        <w:tc>
          <w:tcPr>
            <w:tcW w:w="1138"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数量（股份）</w:t>
            </w:r>
          </w:p>
        </w:tc>
        <w:tc>
          <w:tcPr>
            <w:tcW w:w="661"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取得日期</w:t>
            </w:r>
          </w:p>
        </w:tc>
        <w:tc>
          <w:tcPr>
            <w:tcW w:w="3738" w:type="dxa"/>
            <w:gridSpan w:val="3"/>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价值</w:t>
            </w:r>
          </w:p>
        </w:tc>
        <w:tc>
          <w:tcPr>
            <w:tcW w:w="785"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评估价值</w:t>
            </w:r>
          </w:p>
        </w:tc>
        <w:tc>
          <w:tcPr>
            <w:tcW w:w="1121"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处置方法</w:t>
            </w:r>
          </w:p>
        </w:tc>
        <w:tc>
          <w:tcPr>
            <w:tcW w:w="126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处置原因</w:t>
            </w:r>
          </w:p>
        </w:tc>
        <w:tc>
          <w:tcPr>
            <w:tcW w:w="108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备注</w:t>
            </w:r>
          </w:p>
        </w:tc>
      </w:tr>
      <w:tr>
        <w:tblPrEx>
          <w:tblCellMar>
            <w:top w:w="0" w:type="dxa"/>
            <w:left w:w="108" w:type="dxa"/>
            <w:bottom w:w="0" w:type="dxa"/>
            <w:right w:w="108" w:type="dxa"/>
          </w:tblCellMar>
        </w:tblPrEx>
        <w:trPr>
          <w:trHeight w:val="798" w:hRule="atLeast"/>
        </w:trPr>
        <w:tc>
          <w:tcPr>
            <w:tcW w:w="7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1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80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88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0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99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13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6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324" w:type="dxa"/>
            <w:tcBorders>
              <w:top w:val="nil"/>
              <w:left w:val="nil"/>
              <w:bottom w:val="nil"/>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账面原值</w:t>
            </w:r>
          </w:p>
        </w:tc>
        <w:tc>
          <w:tcPr>
            <w:tcW w:w="1279" w:type="dxa"/>
            <w:tcBorders>
              <w:top w:val="nil"/>
              <w:left w:val="nil"/>
              <w:bottom w:val="nil"/>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累计折旧</w:t>
            </w:r>
          </w:p>
        </w:tc>
        <w:tc>
          <w:tcPr>
            <w:tcW w:w="1135" w:type="dxa"/>
            <w:tcBorders>
              <w:top w:val="nil"/>
              <w:left w:val="nil"/>
              <w:bottom w:val="nil"/>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账面净值</w:t>
            </w:r>
          </w:p>
        </w:tc>
        <w:tc>
          <w:tcPr>
            <w:tcW w:w="78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1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2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08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280" w:hRule="atLeast"/>
        </w:trPr>
        <w:tc>
          <w:tcPr>
            <w:tcW w:w="736"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125"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80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881"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01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995"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13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661"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324"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279"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135"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785"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121"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26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0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trHeight w:val="280" w:hRule="atLeast"/>
        </w:trPr>
        <w:tc>
          <w:tcPr>
            <w:tcW w:w="736"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125"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80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881"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01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995"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13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661"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32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279"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135"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785"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121"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26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0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trHeight w:val="280" w:hRule="atLeast"/>
        </w:trPr>
        <w:tc>
          <w:tcPr>
            <w:tcW w:w="736"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125"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80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881"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01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995"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13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661"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32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279"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135"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785"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121"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26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0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trHeight w:val="280" w:hRule="atLeast"/>
        </w:trPr>
        <w:tc>
          <w:tcPr>
            <w:tcW w:w="736"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125"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80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881"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01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995"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13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661"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32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279"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135"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785"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121"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26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0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trHeight w:val="280" w:hRule="atLeast"/>
        </w:trPr>
        <w:tc>
          <w:tcPr>
            <w:tcW w:w="736"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125"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80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881"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01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995"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13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661"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32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279"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135"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785"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121"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26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0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trHeight w:val="280" w:hRule="atLeast"/>
        </w:trPr>
        <w:tc>
          <w:tcPr>
            <w:tcW w:w="736"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合计</w:t>
            </w:r>
          </w:p>
        </w:tc>
        <w:tc>
          <w:tcPr>
            <w:tcW w:w="1125"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80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881"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01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995"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13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661"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32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279"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135"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785"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121"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26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c>
          <w:tcPr>
            <w:tcW w:w="10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trHeight w:val="1859" w:hRule="atLeast"/>
        </w:trPr>
        <w:tc>
          <w:tcPr>
            <w:tcW w:w="1861" w:type="dxa"/>
            <w:gridSpan w:val="2"/>
            <w:tcBorders>
              <w:top w:val="nil"/>
              <w:left w:val="single" w:color="auto" w:sz="4" w:space="0"/>
              <w:bottom w:val="single" w:color="auto" w:sz="4" w:space="0"/>
              <w:right w:val="single" w:color="auto" w:sz="4" w:space="0"/>
            </w:tcBorders>
            <w:vAlign w:val="center"/>
          </w:tcPr>
          <w:p>
            <w:pPr>
              <w:jc w:val="center"/>
              <w:rPr>
                <w:rFonts w:ascii="宋体" w:hAnsi="宋体"/>
                <w:sz w:val="20"/>
                <w:szCs w:val="20"/>
              </w:rPr>
            </w:pPr>
            <w:r>
              <w:rPr>
                <w:rFonts w:hint="eastAsia"/>
                <w:sz w:val="20"/>
                <w:szCs w:val="20"/>
              </w:rPr>
              <w:t>行政事业单位意见</w:t>
            </w:r>
          </w:p>
        </w:tc>
        <w:tc>
          <w:tcPr>
            <w:tcW w:w="3692" w:type="dxa"/>
            <w:gridSpan w:val="4"/>
            <w:tcBorders>
              <w:top w:val="nil"/>
              <w:left w:val="nil"/>
              <w:bottom w:val="single" w:color="auto" w:sz="4" w:space="0"/>
              <w:right w:val="single" w:color="auto" w:sz="4" w:space="0"/>
            </w:tcBorders>
            <w:vAlign w:val="center"/>
          </w:tcPr>
          <w:p>
            <w:pPr>
              <w:rPr>
                <w:sz w:val="20"/>
                <w:szCs w:val="20"/>
              </w:rPr>
            </w:pPr>
            <w:r>
              <w:rPr>
                <w:rFonts w:hint="eastAsia"/>
                <w:sz w:val="20"/>
                <w:szCs w:val="20"/>
              </w:rPr>
              <w:t>资产（财务）管理部门意见：（签章）</w:t>
            </w:r>
            <w:r>
              <w:rPr>
                <w:sz w:val="20"/>
                <w:szCs w:val="20"/>
              </w:rPr>
              <w:t xml:space="preserve">  </w:t>
            </w:r>
            <w:r>
              <w:rPr>
                <w:sz w:val="20"/>
                <w:szCs w:val="20"/>
              </w:rPr>
              <w:br w:type="textWrapping"/>
            </w:r>
            <w:r>
              <w:rPr>
                <w:sz w:val="20"/>
                <w:szCs w:val="20"/>
              </w:rPr>
              <w:t xml:space="preserve">       </w:t>
            </w:r>
            <w:r>
              <w:rPr>
                <w:sz w:val="20"/>
                <w:szCs w:val="20"/>
              </w:rPr>
              <w:br w:type="textWrapping"/>
            </w:r>
            <w:r>
              <w:rPr>
                <w:sz w:val="20"/>
                <w:szCs w:val="20"/>
              </w:rPr>
              <w:t xml:space="preserve">                              </w:t>
            </w:r>
            <w:r>
              <w:rPr>
                <w:sz w:val="20"/>
                <w:szCs w:val="20"/>
              </w:rPr>
              <w:br w:type="textWrapping"/>
            </w:r>
            <w:r>
              <w:rPr>
                <w:sz w:val="20"/>
                <w:szCs w:val="20"/>
              </w:rPr>
              <w:t xml:space="preserve">                    </w:t>
            </w:r>
          </w:p>
          <w:p>
            <w:pPr>
              <w:rPr>
                <w:sz w:val="20"/>
                <w:szCs w:val="20"/>
              </w:rPr>
            </w:pPr>
          </w:p>
          <w:p>
            <w:pPr>
              <w:ind w:firstLine="2000" w:firstLineChars="1000"/>
              <w:jc w:val="right"/>
              <w:rPr>
                <w:rFonts w:ascii="宋体" w:hAnsi="宋体"/>
                <w:sz w:val="20"/>
                <w:szCs w:val="20"/>
              </w:rPr>
            </w:pPr>
            <w:r>
              <w:rPr>
                <w:sz w:val="20"/>
                <w:szCs w:val="20"/>
              </w:rPr>
              <w:t xml:space="preserve">  </w:t>
            </w:r>
            <w:r>
              <w:rPr>
                <w:rFonts w:hint="eastAsia"/>
                <w:sz w:val="20"/>
                <w:szCs w:val="20"/>
              </w:rPr>
              <w:t>年</w:t>
            </w:r>
            <w:r>
              <w:rPr>
                <w:sz w:val="20"/>
                <w:szCs w:val="20"/>
              </w:rPr>
              <w:t xml:space="preserve">   </w:t>
            </w:r>
            <w:r>
              <w:rPr>
                <w:rFonts w:hint="eastAsia"/>
                <w:sz w:val="20"/>
                <w:szCs w:val="20"/>
              </w:rPr>
              <w:t>月</w:t>
            </w:r>
            <w:r>
              <w:rPr>
                <w:sz w:val="20"/>
                <w:szCs w:val="20"/>
              </w:rPr>
              <w:t xml:space="preserve">  </w:t>
            </w:r>
            <w:r>
              <w:rPr>
                <w:rFonts w:hint="eastAsia"/>
                <w:sz w:val="20"/>
                <w:szCs w:val="20"/>
              </w:rPr>
              <w:t xml:space="preserve"> 日</w:t>
            </w:r>
            <w:r>
              <w:rPr>
                <w:sz w:val="20"/>
                <w:szCs w:val="20"/>
              </w:rPr>
              <w:t xml:space="preserve"> </w:t>
            </w:r>
          </w:p>
        </w:tc>
        <w:tc>
          <w:tcPr>
            <w:tcW w:w="5537" w:type="dxa"/>
            <w:gridSpan w:val="5"/>
            <w:tcBorders>
              <w:top w:val="nil"/>
              <w:left w:val="nil"/>
              <w:bottom w:val="single" w:color="auto" w:sz="4" w:space="0"/>
              <w:right w:val="single" w:color="auto" w:sz="4" w:space="0"/>
            </w:tcBorders>
            <w:vAlign w:val="center"/>
          </w:tcPr>
          <w:p>
            <w:pPr>
              <w:rPr>
                <w:sz w:val="20"/>
                <w:szCs w:val="20"/>
              </w:rPr>
            </w:pPr>
            <w:r>
              <w:rPr>
                <w:rFonts w:hint="eastAsia"/>
                <w:sz w:val="20"/>
                <w:szCs w:val="20"/>
              </w:rPr>
              <w:t>技术鉴定机构意见：（签章）</w:t>
            </w:r>
            <w:r>
              <w:rPr>
                <w:sz w:val="20"/>
                <w:szCs w:val="20"/>
              </w:rPr>
              <w:t xml:space="preserve">  </w:t>
            </w:r>
            <w:r>
              <w:rPr>
                <w:sz w:val="20"/>
                <w:szCs w:val="20"/>
              </w:rPr>
              <w:br w:type="textWrapping"/>
            </w:r>
            <w:r>
              <w:rPr>
                <w:sz w:val="20"/>
                <w:szCs w:val="20"/>
              </w:rPr>
              <w:t xml:space="preserve">       </w:t>
            </w:r>
            <w:r>
              <w:rPr>
                <w:sz w:val="20"/>
                <w:szCs w:val="20"/>
              </w:rPr>
              <w:br w:type="textWrapping"/>
            </w:r>
            <w:r>
              <w:rPr>
                <w:sz w:val="20"/>
                <w:szCs w:val="20"/>
              </w:rPr>
              <w:t xml:space="preserve">                                  </w:t>
            </w:r>
            <w:r>
              <w:rPr>
                <w:sz w:val="20"/>
                <w:szCs w:val="20"/>
              </w:rPr>
              <w:br w:type="textWrapping"/>
            </w:r>
            <w:r>
              <w:rPr>
                <w:sz w:val="20"/>
                <w:szCs w:val="20"/>
              </w:rPr>
              <w:t xml:space="preserve">                                   </w:t>
            </w:r>
            <w:r>
              <w:rPr>
                <w:rFonts w:hint="eastAsia"/>
                <w:sz w:val="20"/>
                <w:szCs w:val="20"/>
              </w:rPr>
              <w:t xml:space="preserve"> </w:t>
            </w:r>
          </w:p>
          <w:p>
            <w:pPr>
              <w:rPr>
                <w:sz w:val="20"/>
                <w:szCs w:val="20"/>
              </w:rPr>
            </w:pPr>
          </w:p>
          <w:p>
            <w:pPr>
              <w:ind w:firstLine="3600" w:firstLineChars="1800"/>
              <w:jc w:val="right"/>
              <w:rPr>
                <w:rFonts w:ascii="宋体" w:hAnsi="宋体"/>
                <w:sz w:val="20"/>
                <w:szCs w:val="20"/>
              </w:rPr>
            </w:pPr>
            <w:r>
              <w:rPr>
                <w:rFonts w:hint="eastAsia"/>
                <w:sz w:val="20"/>
                <w:szCs w:val="20"/>
              </w:rPr>
              <w:t xml:space="preserve">    年</w:t>
            </w:r>
            <w:r>
              <w:rPr>
                <w:sz w:val="20"/>
                <w:szCs w:val="20"/>
              </w:rPr>
              <w:t xml:space="preserve">   </w:t>
            </w:r>
            <w:r>
              <w:rPr>
                <w:rFonts w:hint="eastAsia"/>
                <w:sz w:val="20"/>
                <w:szCs w:val="20"/>
              </w:rPr>
              <w:t>月</w:t>
            </w:r>
            <w:r>
              <w:rPr>
                <w:sz w:val="20"/>
                <w:szCs w:val="20"/>
              </w:rPr>
              <w:t xml:space="preserve"> </w:t>
            </w:r>
            <w:r>
              <w:rPr>
                <w:rFonts w:hint="eastAsia"/>
                <w:sz w:val="20"/>
                <w:szCs w:val="20"/>
              </w:rPr>
              <w:t xml:space="preserve"> </w:t>
            </w:r>
            <w:r>
              <w:rPr>
                <w:sz w:val="20"/>
                <w:szCs w:val="20"/>
              </w:rPr>
              <w:t xml:space="preserve"> </w:t>
            </w:r>
            <w:r>
              <w:rPr>
                <w:rFonts w:hint="eastAsia"/>
                <w:sz w:val="20"/>
                <w:szCs w:val="20"/>
              </w:rPr>
              <w:t>日</w:t>
            </w:r>
            <w:r>
              <w:rPr>
                <w:sz w:val="20"/>
                <w:szCs w:val="20"/>
              </w:rPr>
              <w:t xml:space="preserve"> </w:t>
            </w:r>
          </w:p>
        </w:tc>
        <w:tc>
          <w:tcPr>
            <w:tcW w:w="4250" w:type="dxa"/>
            <w:gridSpan w:val="4"/>
            <w:tcBorders>
              <w:top w:val="nil"/>
              <w:left w:val="nil"/>
              <w:bottom w:val="single" w:color="auto" w:sz="4" w:space="0"/>
              <w:right w:val="single" w:color="auto" w:sz="4" w:space="0"/>
            </w:tcBorders>
            <w:vAlign w:val="center"/>
          </w:tcPr>
          <w:p>
            <w:pPr>
              <w:rPr>
                <w:rStyle w:val="11"/>
              </w:rPr>
            </w:pPr>
            <w:r>
              <w:rPr>
                <w:rFonts w:hint="eastAsia"/>
                <w:sz w:val="20"/>
                <w:szCs w:val="20"/>
              </w:rPr>
              <w:t>单位负责人意见：（签章）</w:t>
            </w:r>
            <w:r>
              <w:rPr>
                <w:sz w:val="20"/>
                <w:szCs w:val="20"/>
              </w:rPr>
              <w:t xml:space="preserve">  </w:t>
            </w:r>
            <w:r>
              <w:rPr>
                <w:sz w:val="20"/>
                <w:szCs w:val="20"/>
              </w:rPr>
              <w:br w:type="textWrapping"/>
            </w:r>
            <w:r>
              <w:rPr>
                <w:sz w:val="20"/>
                <w:szCs w:val="20"/>
              </w:rPr>
              <w:t xml:space="preserve">       </w:t>
            </w:r>
            <w:r>
              <w:rPr>
                <w:sz w:val="20"/>
                <w:szCs w:val="20"/>
              </w:rPr>
              <w:br w:type="textWrapping"/>
            </w:r>
            <w:r>
              <w:rPr>
                <w:rStyle w:val="11"/>
              </w:rPr>
              <w:br w:type="textWrapping"/>
            </w:r>
            <w:r>
              <w:rPr>
                <w:rStyle w:val="11"/>
              </w:rPr>
              <w:t xml:space="preserve">                       </w:t>
            </w:r>
          </w:p>
          <w:p>
            <w:pPr>
              <w:rPr>
                <w:rStyle w:val="11"/>
              </w:rPr>
            </w:pPr>
          </w:p>
          <w:p>
            <w:pPr>
              <w:ind w:firstLine="2340" w:firstLineChars="1300"/>
              <w:jc w:val="right"/>
              <w:rPr>
                <w:rFonts w:ascii="宋体" w:hAnsi="宋体"/>
                <w:sz w:val="20"/>
                <w:szCs w:val="20"/>
              </w:rPr>
            </w:pPr>
            <w:r>
              <w:rPr>
                <w:rStyle w:val="11"/>
                <w:rFonts w:hint="eastAsia"/>
              </w:rPr>
              <w:t xml:space="preserve">    </w:t>
            </w:r>
            <w:r>
              <w:rPr>
                <w:rStyle w:val="11"/>
              </w:rPr>
              <w:t xml:space="preserve"> </w:t>
            </w:r>
            <w:r>
              <w:rPr>
                <w:rFonts w:hint="eastAsia"/>
                <w:sz w:val="20"/>
                <w:szCs w:val="20"/>
              </w:rPr>
              <w:t>年</w:t>
            </w:r>
            <w:r>
              <w:rPr>
                <w:sz w:val="20"/>
                <w:szCs w:val="20"/>
              </w:rPr>
              <w:t xml:space="preserve">   </w:t>
            </w:r>
            <w:r>
              <w:rPr>
                <w:rFonts w:hint="eastAsia"/>
                <w:sz w:val="20"/>
                <w:szCs w:val="20"/>
              </w:rPr>
              <w:t>月</w:t>
            </w:r>
            <w:r>
              <w:rPr>
                <w:sz w:val="20"/>
                <w:szCs w:val="20"/>
              </w:rPr>
              <w:t xml:space="preserve">  </w:t>
            </w:r>
            <w:r>
              <w:rPr>
                <w:rFonts w:hint="eastAsia"/>
                <w:sz w:val="20"/>
                <w:szCs w:val="20"/>
              </w:rPr>
              <w:t xml:space="preserve"> 日</w:t>
            </w:r>
            <w:r>
              <w:rPr>
                <w:sz w:val="20"/>
                <w:szCs w:val="20"/>
              </w:rPr>
              <w:t xml:space="preserve"> </w:t>
            </w:r>
          </w:p>
        </w:tc>
      </w:tr>
      <w:tr>
        <w:tblPrEx>
          <w:tblCellMar>
            <w:top w:w="0" w:type="dxa"/>
            <w:left w:w="108" w:type="dxa"/>
            <w:bottom w:w="0" w:type="dxa"/>
            <w:right w:w="108" w:type="dxa"/>
          </w:tblCellMar>
        </w:tblPrEx>
        <w:trPr>
          <w:trHeight w:val="1859" w:hRule="atLeast"/>
        </w:trPr>
        <w:tc>
          <w:tcPr>
            <w:tcW w:w="1861" w:type="dxa"/>
            <w:gridSpan w:val="2"/>
            <w:tcBorders>
              <w:top w:val="nil"/>
              <w:left w:val="single" w:color="auto" w:sz="4" w:space="0"/>
              <w:bottom w:val="single" w:color="auto" w:sz="4" w:space="0"/>
              <w:right w:val="single" w:color="auto" w:sz="4" w:space="0"/>
            </w:tcBorders>
            <w:vAlign w:val="center"/>
          </w:tcPr>
          <w:p>
            <w:pPr>
              <w:jc w:val="center"/>
              <w:rPr>
                <w:rFonts w:ascii="宋体" w:hAnsi="宋体"/>
                <w:sz w:val="20"/>
                <w:szCs w:val="20"/>
              </w:rPr>
            </w:pPr>
            <w:r>
              <w:rPr>
                <w:rFonts w:hint="eastAsia"/>
                <w:sz w:val="20"/>
                <w:szCs w:val="20"/>
              </w:rPr>
              <w:t>主管部门</w:t>
            </w:r>
            <w:r>
              <w:rPr>
                <w:sz w:val="20"/>
                <w:szCs w:val="20"/>
              </w:rPr>
              <w:br w:type="textWrapping"/>
            </w:r>
            <w:r>
              <w:rPr>
                <w:rFonts w:hint="eastAsia"/>
                <w:sz w:val="20"/>
                <w:szCs w:val="20"/>
              </w:rPr>
              <w:t>审核意见</w:t>
            </w:r>
          </w:p>
        </w:tc>
        <w:tc>
          <w:tcPr>
            <w:tcW w:w="3692" w:type="dxa"/>
            <w:gridSpan w:val="4"/>
            <w:tcBorders>
              <w:top w:val="nil"/>
              <w:left w:val="nil"/>
              <w:bottom w:val="single" w:color="auto" w:sz="4" w:space="0"/>
              <w:right w:val="single" w:color="auto" w:sz="4" w:space="0"/>
            </w:tcBorders>
            <w:vAlign w:val="center"/>
          </w:tcPr>
          <w:p>
            <w:pPr>
              <w:rPr>
                <w:sz w:val="20"/>
                <w:szCs w:val="20"/>
              </w:rPr>
            </w:pPr>
            <w:r>
              <w:rPr>
                <w:rFonts w:hint="eastAsia"/>
                <w:sz w:val="20"/>
                <w:szCs w:val="20"/>
              </w:rPr>
              <w:t>资产（财务）管理部门意见（签章）</w:t>
            </w:r>
            <w:r>
              <w:rPr>
                <w:sz w:val="20"/>
                <w:szCs w:val="20"/>
              </w:rPr>
              <w:t xml:space="preserve">  </w:t>
            </w:r>
            <w:r>
              <w:rPr>
                <w:sz w:val="20"/>
                <w:szCs w:val="20"/>
              </w:rPr>
              <w:br w:type="textWrapping"/>
            </w:r>
            <w:r>
              <w:rPr>
                <w:sz w:val="20"/>
                <w:szCs w:val="20"/>
              </w:rPr>
              <w:t xml:space="preserve">       </w:t>
            </w:r>
            <w:r>
              <w:rPr>
                <w:sz w:val="20"/>
                <w:szCs w:val="20"/>
              </w:rPr>
              <w:br w:type="textWrapping"/>
            </w:r>
            <w:r>
              <w:rPr>
                <w:sz w:val="20"/>
                <w:szCs w:val="20"/>
              </w:rPr>
              <w:t xml:space="preserve">                              </w:t>
            </w:r>
            <w:r>
              <w:rPr>
                <w:sz w:val="20"/>
                <w:szCs w:val="20"/>
              </w:rPr>
              <w:br w:type="textWrapping"/>
            </w:r>
            <w:r>
              <w:rPr>
                <w:sz w:val="20"/>
                <w:szCs w:val="20"/>
              </w:rPr>
              <w:t xml:space="preserve">                     </w:t>
            </w:r>
          </w:p>
          <w:p>
            <w:pPr>
              <w:rPr>
                <w:sz w:val="20"/>
                <w:szCs w:val="20"/>
              </w:rPr>
            </w:pPr>
          </w:p>
          <w:p>
            <w:pPr>
              <w:ind w:firstLine="2000" w:firstLineChars="1000"/>
              <w:jc w:val="right"/>
              <w:rPr>
                <w:rFonts w:ascii="宋体" w:hAnsi="宋体"/>
                <w:sz w:val="20"/>
                <w:szCs w:val="20"/>
              </w:rPr>
            </w:pPr>
            <w:r>
              <w:rPr>
                <w:sz w:val="20"/>
                <w:szCs w:val="20"/>
              </w:rPr>
              <w:t xml:space="preserve"> </w:t>
            </w:r>
            <w:r>
              <w:rPr>
                <w:rFonts w:hint="eastAsia"/>
                <w:sz w:val="20"/>
                <w:szCs w:val="20"/>
              </w:rPr>
              <w:t>年</w:t>
            </w:r>
            <w:r>
              <w:rPr>
                <w:sz w:val="20"/>
                <w:szCs w:val="20"/>
              </w:rPr>
              <w:t xml:space="preserve">   </w:t>
            </w:r>
            <w:r>
              <w:rPr>
                <w:rFonts w:hint="eastAsia"/>
                <w:sz w:val="20"/>
                <w:szCs w:val="20"/>
              </w:rPr>
              <w:t>月</w:t>
            </w:r>
            <w:r>
              <w:rPr>
                <w:sz w:val="20"/>
                <w:szCs w:val="20"/>
              </w:rPr>
              <w:t xml:space="preserve"> </w:t>
            </w:r>
            <w:r>
              <w:rPr>
                <w:rFonts w:hint="eastAsia"/>
                <w:sz w:val="20"/>
                <w:szCs w:val="20"/>
              </w:rPr>
              <w:t xml:space="preserve"> </w:t>
            </w:r>
            <w:r>
              <w:rPr>
                <w:sz w:val="20"/>
                <w:szCs w:val="20"/>
              </w:rPr>
              <w:t xml:space="preserve"> </w:t>
            </w:r>
            <w:r>
              <w:rPr>
                <w:rFonts w:hint="eastAsia"/>
                <w:sz w:val="20"/>
                <w:szCs w:val="20"/>
              </w:rPr>
              <w:t>日</w:t>
            </w:r>
          </w:p>
        </w:tc>
        <w:tc>
          <w:tcPr>
            <w:tcW w:w="5537" w:type="dxa"/>
            <w:gridSpan w:val="5"/>
            <w:tcBorders>
              <w:top w:val="nil"/>
              <w:left w:val="nil"/>
              <w:bottom w:val="single" w:color="auto" w:sz="4" w:space="0"/>
              <w:right w:val="single" w:color="auto" w:sz="4" w:space="0"/>
            </w:tcBorders>
            <w:vAlign w:val="center"/>
          </w:tcPr>
          <w:p>
            <w:pPr>
              <w:rPr>
                <w:sz w:val="20"/>
                <w:szCs w:val="20"/>
              </w:rPr>
            </w:pPr>
            <w:r>
              <w:rPr>
                <w:rFonts w:hint="eastAsia"/>
                <w:sz w:val="20"/>
                <w:szCs w:val="20"/>
              </w:rPr>
              <w:t>主管部门负责人审核意见：（签章）</w:t>
            </w:r>
            <w:r>
              <w:rPr>
                <w:sz w:val="20"/>
                <w:szCs w:val="20"/>
              </w:rPr>
              <w:t xml:space="preserve">  </w:t>
            </w:r>
            <w:r>
              <w:rPr>
                <w:sz w:val="20"/>
                <w:szCs w:val="20"/>
              </w:rPr>
              <w:br w:type="textWrapping"/>
            </w:r>
            <w:r>
              <w:rPr>
                <w:sz w:val="20"/>
                <w:szCs w:val="20"/>
              </w:rPr>
              <w:t xml:space="preserve">       </w:t>
            </w:r>
            <w:r>
              <w:rPr>
                <w:sz w:val="20"/>
                <w:szCs w:val="20"/>
              </w:rPr>
              <w:br w:type="textWrapping"/>
            </w:r>
            <w:r>
              <w:rPr>
                <w:sz w:val="20"/>
                <w:szCs w:val="20"/>
              </w:rPr>
              <w:t xml:space="preserve">                                  </w:t>
            </w:r>
            <w:r>
              <w:rPr>
                <w:sz w:val="20"/>
                <w:szCs w:val="20"/>
              </w:rPr>
              <w:br w:type="textWrapping"/>
            </w:r>
            <w:r>
              <w:rPr>
                <w:sz w:val="20"/>
                <w:szCs w:val="20"/>
              </w:rPr>
              <w:t xml:space="preserve">                                  </w:t>
            </w:r>
            <w:r>
              <w:rPr>
                <w:rFonts w:hint="eastAsia"/>
                <w:sz w:val="20"/>
                <w:szCs w:val="20"/>
              </w:rPr>
              <w:t xml:space="preserve">     </w:t>
            </w:r>
          </w:p>
          <w:p>
            <w:pPr>
              <w:rPr>
                <w:sz w:val="20"/>
                <w:szCs w:val="20"/>
              </w:rPr>
            </w:pPr>
          </w:p>
          <w:p>
            <w:pPr>
              <w:ind w:firstLine="4000" w:firstLineChars="2000"/>
              <w:jc w:val="right"/>
              <w:rPr>
                <w:rFonts w:ascii="宋体" w:hAnsi="宋体"/>
                <w:sz w:val="20"/>
                <w:szCs w:val="20"/>
              </w:rPr>
            </w:pPr>
            <w:r>
              <w:rPr>
                <w:sz w:val="20"/>
                <w:szCs w:val="20"/>
              </w:rPr>
              <w:t xml:space="preserve"> </w:t>
            </w:r>
            <w:r>
              <w:rPr>
                <w:rFonts w:hint="eastAsia"/>
                <w:sz w:val="20"/>
                <w:szCs w:val="20"/>
              </w:rPr>
              <w:t>年</w:t>
            </w:r>
            <w:r>
              <w:rPr>
                <w:sz w:val="20"/>
                <w:szCs w:val="20"/>
              </w:rPr>
              <w:t xml:space="preserve">   </w:t>
            </w:r>
            <w:r>
              <w:rPr>
                <w:rFonts w:hint="eastAsia"/>
                <w:sz w:val="20"/>
                <w:szCs w:val="20"/>
              </w:rPr>
              <w:t>月</w:t>
            </w:r>
            <w:r>
              <w:rPr>
                <w:sz w:val="20"/>
                <w:szCs w:val="20"/>
              </w:rPr>
              <w:t xml:space="preserve">  </w:t>
            </w:r>
            <w:r>
              <w:rPr>
                <w:rFonts w:hint="eastAsia"/>
                <w:sz w:val="20"/>
                <w:szCs w:val="20"/>
              </w:rPr>
              <w:t xml:space="preserve"> 日</w:t>
            </w:r>
            <w:r>
              <w:rPr>
                <w:sz w:val="20"/>
                <w:szCs w:val="20"/>
              </w:rPr>
              <w:t xml:space="preserve"> </w:t>
            </w:r>
          </w:p>
        </w:tc>
        <w:tc>
          <w:tcPr>
            <w:tcW w:w="4250" w:type="dxa"/>
            <w:gridSpan w:val="4"/>
            <w:tcBorders>
              <w:top w:val="nil"/>
              <w:left w:val="nil"/>
              <w:bottom w:val="single" w:color="auto" w:sz="4" w:space="0"/>
              <w:right w:val="single" w:color="auto" w:sz="4" w:space="0"/>
            </w:tcBorders>
          </w:tcPr>
          <w:p>
            <w:pPr>
              <w:rPr>
                <w:sz w:val="20"/>
                <w:szCs w:val="20"/>
              </w:rPr>
            </w:pPr>
            <w:r>
              <w:rPr>
                <w:rFonts w:hint="eastAsia"/>
                <w:sz w:val="20"/>
                <w:szCs w:val="20"/>
              </w:rPr>
              <w:t>财政局审批意见：（签章）</w:t>
            </w:r>
            <w:r>
              <w:rPr>
                <w:sz w:val="20"/>
                <w:szCs w:val="20"/>
              </w:rPr>
              <w:br w:type="textWrapping"/>
            </w:r>
            <w:r>
              <w:rPr>
                <w:sz w:val="20"/>
                <w:szCs w:val="20"/>
              </w:rPr>
              <w:t xml:space="preserve">       </w:t>
            </w:r>
            <w:r>
              <w:rPr>
                <w:sz w:val="20"/>
                <w:szCs w:val="20"/>
              </w:rPr>
              <w:br w:type="textWrapping"/>
            </w:r>
            <w:r>
              <w:rPr>
                <w:sz w:val="20"/>
                <w:szCs w:val="20"/>
              </w:rPr>
              <w:br w:type="textWrapping"/>
            </w:r>
            <w:r>
              <w:rPr>
                <w:sz w:val="20"/>
                <w:szCs w:val="20"/>
              </w:rPr>
              <w:t xml:space="preserve">                       </w:t>
            </w:r>
            <w:r>
              <w:rPr>
                <w:rFonts w:hint="eastAsia"/>
                <w:sz w:val="20"/>
                <w:szCs w:val="20"/>
              </w:rPr>
              <w:t xml:space="preserve">  </w:t>
            </w:r>
          </w:p>
          <w:p>
            <w:pPr>
              <w:rPr>
                <w:sz w:val="20"/>
                <w:szCs w:val="20"/>
              </w:rPr>
            </w:pPr>
          </w:p>
          <w:p>
            <w:pPr>
              <w:ind w:firstLine="2600" w:firstLineChars="1300"/>
              <w:jc w:val="right"/>
              <w:rPr>
                <w:rFonts w:ascii="宋体" w:hAnsi="宋体"/>
                <w:sz w:val="20"/>
                <w:szCs w:val="20"/>
              </w:rPr>
            </w:pPr>
            <w:r>
              <w:rPr>
                <w:rFonts w:hint="eastAsia"/>
                <w:sz w:val="20"/>
                <w:szCs w:val="20"/>
              </w:rPr>
              <w:t xml:space="preserve">  年</w:t>
            </w:r>
            <w:r>
              <w:rPr>
                <w:sz w:val="20"/>
                <w:szCs w:val="20"/>
              </w:rPr>
              <w:t xml:space="preserve">   </w:t>
            </w:r>
            <w:r>
              <w:rPr>
                <w:rFonts w:hint="eastAsia"/>
                <w:sz w:val="20"/>
                <w:szCs w:val="20"/>
              </w:rPr>
              <w:t>月</w:t>
            </w:r>
            <w:r>
              <w:rPr>
                <w:sz w:val="20"/>
                <w:szCs w:val="20"/>
              </w:rPr>
              <w:t xml:space="preserve"> </w:t>
            </w:r>
            <w:r>
              <w:rPr>
                <w:rFonts w:hint="eastAsia"/>
                <w:sz w:val="20"/>
                <w:szCs w:val="20"/>
              </w:rPr>
              <w:t xml:space="preserve"> </w:t>
            </w:r>
            <w:r>
              <w:rPr>
                <w:sz w:val="20"/>
                <w:szCs w:val="20"/>
              </w:rPr>
              <w:t xml:space="preserve"> </w:t>
            </w:r>
            <w:r>
              <w:rPr>
                <w:rFonts w:hint="eastAsia"/>
                <w:sz w:val="20"/>
                <w:szCs w:val="20"/>
              </w:rPr>
              <w:t>日</w:t>
            </w:r>
          </w:p>
        </w:tc>
      </w:tr>
      <w:tr>
        <w:tblPrEx>
          <w:tblCellMar>
            <w:top w:w="0" w:type="dxa"/>
            <w:left w:w="108" w:type="dxa"/>
            <w:bottom w:w="0" w:type="dxa"/>
            <w:right w:w="108" w:type="dxa"/>
          </w:tblCellMar>
        </w:tblPrEx>
        <w:trPr>
          <w:trHeight w:val="1511" w:hRule="atLeast"/>
        </w:trPr>
        <w:tc>
          <w:tcPr>
            <w:tcW w:w="15340" w:type="dxa"/>
            <w:gridSpan w:val="15"/>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说明：1.本表适用于行政事业单位国有资产出售、出让、转让、置换、报废报损、货币性资产核销等处置事项申请。</w:t>
            </w:r>
          </w:p>
          <w:p>
            <w:pPr>
              <w:widowControl/>
              <w:jc w:val="left"/>
              <w:rPr>
                <w:rFonts w:ascii="宋体" w:hAnsi="宋体" w:cs="宋体"/>
                <w:color w:val="000000"/>
                <w:kern w:val="0"/>
                <w:sz w:val="22"/>
              </w:rPr>
            </w:pPr>
            <w:r>
              <w:rPr>
                <w:rFonts w:hint="eastAsia" w:ascii="宋体" w:hAnsi="宋体" w:cs="宋体"/>
                <w:color w:val="000000"/>
                <w:kern w:val="0"/>
                <w:sz w:val="22"/>
              </w:rPr>
              <w:t xml:space="preserve">      2.资产类别:使用行政事业单位资产管理信息系统中的资产分类代码。  </w:t>
            </w:r>
          </w:p>
          <w:p>
            <w:pPr>
              <w:widowControl/>
              <w:jc w:val="left"/>
              <w:rPr>
                <w:rFonts w:ascii="宋体" w:hAnsi="宋体" w:cs="宋体"/>
                <w:color w:val="000000"/>
                <w:kern w:val="0"/>
                <w:sz w:val="22"/>
              </w:rPr>
            </w:pPr>
            <w:r>
              <w:rPr>
                <w:rFonts w:hint="eastAsia" w:ascii="宋体" w:hAnsi="宋体" w:cs="宋体"/>
                <w:color w:val="000000"/>
                <w:kern w:val="0"/>
                <w:sz w:val="22"/>
              </w:rPr>
              <w:t xml:space="preserve">      3.资产处置方法 (1)无偿划拨(划转) (2)转让 (3)出售 (4)出让 (5)置换 (6)对外捐赠  (7)报废报损 (8)货币性资产损失核销。</w:t>
            </w:r>
          </w:p>
          <w:p>
            <w:pPr>
              <w:widowControl/>
              <w:jc w:val="left"/>
              <w:rPr>
                <w:rFonts w:ascii="宋体" w:hAnsi="宋体" w:cs="宋体"/>
                <w:color w:val="000000"/>
                <w:kern w:val="0"/>
                <w:sz w:val="22"/>
              </w:rPr>
            </w:pPr>
            <w:r>
              <w:rPr>
                <w:rFonts w:hint="eastAsia" w:ascii="宋体" w:hAnsi="宋体" w:cs="宋体"/>
                <w:color w:val="000000"/>
                <w:kern w:val="0"/>
                <w:sz w:val="22"/>
              </w:rPr>
              <w:t xml:space="preserve">      4.表中资产分类代码、资产处置方法等均用代码填写。</w:t>
            </w:r>
          </w:p>
        </w:tc>
      </w:tr>
    </w:tbl>
    <w:p>
      <w:pPr>
        <w:widowControl/>
        <w:jc w:val="center"/>
        <w:rPr>
          <w:rFonts w:ascii="宋体" w:hAnsi="宋体" w:cs="宋体"/>
          <w:kern w:val="0"/>
          <w:sz w:val="22"/>
        </w:rPr>
      </w:pPr>
      <w:r>
        <w:rPr>
          <w:rFonts w:hint="eastAsia" w:ascii="宋体" w:hAnsi="宋体" w:cs="宋体"/>
          <w:color w:val="000000"/>
          <w:kern w:val="0"/>
          <w:sz w:val="28"/>
          <w:szCs w:val="28"/>
        </w:rPr>
        <w:t>西双版纳州行政事业单位国有资产划拨申请表</w:t>
      </w:r>
    </w:p>
    <w:tbl>
      <w:tblPr>
        <w:tblStyle w:val="5"/>
        <w:tblW w:w="15164" w:type="dxa"/>
        <w:tblInd w:w="-1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1"/>
        <w:gridCol w:w="1586"/>
        <w:gridCol w:w="1372"/>
        <w:gridCol w:w="1190"/>
        <w:gridCol w:w="1207"/>
        <w:gridCol w:w="971"/>
        <w:gridCol w:w="988"/>
        <w:gridCol w:w="949"/>
        <w:gridCol w:w="1109"/>
        <w:gridCol w:w="1190"/>
        <w:gridCol w:w="1198"/>
        <w:gridCol w:w="906"/>
        <w:gridCol w:w="913"/>
        <w:gridCol w:w="10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trPr>
        <w:tc>
          <w:tcPr>
            <w:tcW w:w="15164" w:type="dxa"/>
            <w:gridSpan w:val="14"/>
            <w:tcBorders>
              <w:top w:val="nil"/>
              <w:left w:val="nil"/>
              <w:bottom w:val="nil"/>
              <w:right w:val="nil"/>
            </w:tcBorders>
          </w:tcPr>
          <w:p>
            <w:pPr>
              <w:widowControl/>
              <w:jc w:val="left"/>
              <w:rPr>
                <w:rFonts w:ascii="宋体" w:hAnsi="宋体" w:cs="宋体"/>
                <w:kern w:val="0"/>
                <w:sz w:val="22"/>
              </w:rPr>
            </w:pPr>
          </w:p>
          <w:p>
            <w:pPr>
              <w:widowControl/>
              <w:jc w:val="left"/>
              <w:rPr>
                <w:rFonts w:ascii="宋体" w:hAnsi="宋体" w:cs="宋体"/>
                <w:kern w:val="0"/>
                <w:sz w:val="22"/>
              </w:rPr>
            </w:pPr>
            <w:r>
              <w:rPr>
                <w:rFonts w:hint="eastAsia" w:ascii="宋体" w:hAnsi="宋体" w:cs="宋体"/>
                <w:kern w:val="0"/>
                <w:sz w:val="22"/>
              </w:rPr>
              <w:t>申报单位：（签章）                                  申报日期：    年   月   日                                              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trPr>
        <w:tc>
          <w:tcPr>
            <w:tcW w:w="15164" w:type="dxa"/>
            <w:gridSpan w:val="14"/>
            <w:tcBorders>
              <w:top w:val="nil"/>
              <w:left w:val="nil"/>
              <w:bottom w:val="nil"/>
              <w:right w:val="nil"/>
            </w:tcBorders>
          </w:tcPr>
          <w:p>
            <w:pPr>
              <w:widowControl/>
              <w:jc w:val="left"/>
              <w:rPr>
                <w:rFonts w:ascii="宋体" w:hAnsi="宋体" w:cs="宋体"/>
                <w:kern w:val="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1"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序号</w:t>
            </w:r>
          </w:p>
        </w:tc>
        <w:tc>
          <w:tcPr>
            <w:tcW w:w="158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资产名称</w:t>
            </w:r>
          </w:p>
        </w:tc>
        <w:tc>
          <w:tcPr>
            <w:tcW w:w="137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 xml:space="preserve">资产编号(卡片号) </w:t>
            </w:r>
          </w:p>
        </w:tc>
        <w:tc>
          <w:tcPr>
            <w:tcW w:w="119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资产分类代码</w:t>
            </w:r>
          </w:p>
        </w:tc>
        <w:tc>
          <w:tcPr>
            <w:tcW w:w="120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规格型号</w:t>
            </w:r>
          </w:p>
        </w:tc>
        <w:tc>
          <w:tcPr>
            <w:tcW w:w="971"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单位</w:t>
            </w:r>
          </w:p>
        </w:tc>
        <w:tc>
          <w:tcPr>
            <w:tcW w:w="988"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数量（股份）</w:t>
            </w:r>
          </w:p>
        </w:tc>
        <w:tc>
          <w:tcPr>
            <w:tcW w:w="949"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取得日期</w:t>
            </w:r>
          </w:p>
        </w:tc>
        <w:tc>
          <w:tcPr>
            <w:tcW w:w="3497" w:type="dxa"/>
            <w:gridSpan w:val="3"/>
            <w:tcBorders>
              <w:top w:val="single" w:color="auto" w:sz="4" w:space="0"/>
              <w:left w:val="nil"/>
              <w:bottom w:val="single" w:color="auto" w:sz="4" w:space="0"/>
              <w:right w:val="single" w:color="000000" w:sz="4" w:space="0"/>
            </w:tcBorders>
            <w:vAlign w:val="center"/>
          </w:tcPr>
          <w:p>
            <w:pPr>
              <w:widowControl/>
              <w:jc w:val="center"/>
              <w:rPr>
                <w:rFonts w:ascii="宋体" w:hAnsi="宋体" w:cs="宋体"/>
                <w:kern w:val="0"/>
                <w:sz w:val="22"/>
              </w:rPr>
            </w:pPr>
            <w:r>
              <w:rPr>
                <w:rFonts w:hint="eastAsia" w:ascii="宋体" w:hAnsi="宋体" w:cs="宋体"/>
                <w:kern w:val="0"/>
                <w:sz w:val="22"/>
              </w:rPr>
              <w:t>价值</w:t>
            </w:r>
          </w:p>
        </w:tc>
        <w:tc>
          <w:tcPr>
            <w:tcW w:w="90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处置方法</w:t>
            </w:r>
          </w:p>
        </w:tc>
        <w:tc>
          <w:tcPr>
            <w:tcW w:w="91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处置原因</w:t>
            </w:r>
          </w:p>
        </w:tc>
        <w:tc>
          <w:tcPr>
            <w:tcW w:w="1014"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cs="宋体"/>
                <w:kern w:val="0"/>
                <w:sz w:val="28"/>
                <w:szCs w:val="28"/>
              </w:rPr>
            </w:pPr>
            <w:r>
              <w:rPr>
                <w:rFonts w:hint="eastAsia" w:ascii="宋体" w:hAnsi="宋体" w:cs="宋体"/>
                <w:kern w:val="0"/>
                <w:sz w:val="28"/>
                <w:szCs w:val="28"/>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158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13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11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120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97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98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9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1109" w:type="dxa"/>
            <w:tcBorders>
              <w:top w:val="nil"/>
              <w:left w:val="nil"/>
              <w:bottom w:val="nil"/>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账面原值</w:t>
            </w:r>
          </w:p>
        </w:tc>
        <w:tc>
          <w:tcPr>
            <w:tcW w:w="1190" w:type="dxa"/>
            <w:tcBorders>
              <w:top w:val="nil"/>
              <w:left w:val="nil"/>
              <w:bottom w:val="nil"/>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累计折旧</w:t>
            </w:r>
          </w:p>
        </w:tc>
        <w:tc>
          <w:tcPr>
            <w:tcW w:w="1198" w:type="dxa"/>
            <w:tcBorders>
              <w:top w:val="nil"/>
              <w:left w:val="nil"/>
              <w:bottom w:val="nil"/>
              <w:righ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账面净值</w:t>
            </w:r>
          </w:p>
        </w:tc>
        <w:tc>
          <w:tcPr>
            <w:tcW w:w="90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9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1014"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1"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1586"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1372"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1190"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1207"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971"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988"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949"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1109"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1190"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1198"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906"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913"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1014"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1"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1586"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1372"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1190"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1207"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971"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988"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949"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1109"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1190"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1198"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906"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913"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1014"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1"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1586"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1372"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1190"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1207"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971"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988"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949"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1109"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1190"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1198"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906"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913"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1014"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1"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1586"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1372"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1190"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1207"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971"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988"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949"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1109"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1190"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1198"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906"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913"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1014"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1"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1586"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1372"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1190"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1207"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971"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988"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949"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1109"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1190"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1198"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906"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913"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c>
          <w:tcPr>
            <w:tcW w:w="1014"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571" w:type="dxa"/>
            <w:tcBorders>
              <w:top w:val="nil"/>
              <w:left w:val="single" w:color="auto" w:sz="4" w:space="0"/>
              <w:bottom w:val="single" w:color="auto" w:sz="4" w:space="0"/>
              <w:right w:val="single" w:color="auto" w:sz="4" w:space="0"/>
            </w:tcBorders>
            <w:vAlign w:val="center"/>
          </w:tcPr>
          <w:p>
            <w:pPr>
              <w:widowControl/>
              <w:rPr>
                <w:rFonts w:ascii="宋体" w:hAnsi="宋体" w:cs="宋体"/>
                <w:kern w:val="0"/>
                <w:sz w:val="22"/>
              </w:rPr>
            </w:pPr>
            <w:r>
              <w:rPr>
                <w:rFonts w:hint="eastAsia" w:ascii="宋体" w:hAnsi="宋体" w:cs="宋体"/>
                <w:kern w:val="0"/>
                <w:sz w:val="22"/>
              </w:rPr>
              <w:t>合计：</w:t>
            </w:r>
          </w:p>
        </w:tc>
        <w:tc>
          <w:tcPr>
            <w:tcW w:w="1586"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1372"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1190"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1207"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971" w:type="dxa"/>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2"/>
              </w:rPr>
            </w:pPr>
          </w:p>
        </w:tc>
        <w:tc>
          <w:tcPr>
            <w:tcW w:w="988" w:type="dxa"/>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2"/>
              </w:rPr>
            </w:pPr>
          </w:p>
        </w:tc>
        <w:tc>
          <w:tcPr>
            <w:tcW w:w="949" w:type="dxa"/>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2"/>
              </w:rPr>
            </w:pPr>
          </w:p>
        </w:tc>
        <w:tc>
          <w:tcPr>
            <w:tcW w:w="1109" w:type="dxa"/>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2"/>
              </w:rPr>
            </w:pPr>
          </w:p>
        </w:tc>
        <w:tc>
          <w:tcPr>
            <w:tcW w:w="1190" w:type="dxa"/>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2"/>
              </w:rPr>
            </w:pPr>
          </w:p>
        </w:tc>
        <w:tc>
          <w:tcPr>
            <w:tcW w:w="1198"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906"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913"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c>
          <w:tcPr>
            <w:tcW w:w="1014" w:type="dxa"/>
            <w:tcBorders>
              <w:top w:val="nil"/>
              <w:left w:val="nil"/>
              <w:bottom w:val="single" w:color="auto" w:sz="4" w:space="0"/>
              <w:right w:val="single" w:color="auto" w:sz="4" w:space="0"/>
            </w:tcBorders>
            <w:vAlign w:val="center"/>
          </w:tcPr>
          <w:p>
            <w:pPr>
              <w:widowControl/>
              <w:jc w:val="left"/>
              <w:rPr>
                <w:rFonts w:ascii="宋体" w:hAnsi="宋体" w:cs="宋体"/>
                <w:kern w:val="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6" w:hRule="atLeast"/>
        </w:trPr>
        <w:tc>
          <w:tcPr>
            <w:tcW w:w="571" w:type="dxa"/>
            <w:tcBorders>
              <w:top w:val="nil"/>
              <w:left w:val="single" w:color="auto" w:sz="4" w:space="0"/>
              <w:bottom w:val="single" w:color="auto" w:sz="4" w:space="0"/>
              <w:right w:val="single" w:color="auto" w:sz="4" w:space="0"/>
            </w:tcBorders>
            <w:vAlign w:val="center"/>
          </w:tcPr>
          <w:p>
            <w:pPr>
              <w:jc w:val="center"/>
              <w:rPr>
                <w:rFonts w:ascii="宋体" w:hAnsi="宋体"/>
                <w:sz w:val="20"/>
                <w:szCs w:val="20"/>
              </w:rPr>
            </w:pPr>
            <w:r>
              <w:rPr>
                <w:rFonts w:hint="eastAsia"/>
                <w:sz w:val="20"/>
                <w:szCs w:val="20"/>
              </w:rPr>
              <w:t>划</w:t>
            </w:r>
            <w:r>
              <w:rPr>
                <w:sz w:val="20"/>
                <w:szCs w:val="20"/>
              </w:rPr>
              <w:br w:type="textWrapping"/>
            </w:r>
            <w:r>
              <w:rPr>
                <w:rFonts w:hint="eastAsia"/>
                <w:sz w:val="20"/>
                <w:szCs w:val="20"/>
              </w:rPr>
              <w:t>出</w:t>
            </w:r>
            <w:r>
              <w:rPr>
                <w:sz w:val="20"/>
                <w:szCs w:val="20"/>
              </w:rPr>
              <w:br w:type="textWrapping"/>
            </w:r>
            <w:r>
              <w:rPr>
                <w:rFonts w:hint="eastAsia"/>
                <w:sz w:val="20"/>
                <w:szCs w:val="20"/>
              </w:rPr>
              <w:t>方</w:t>
            </w:r>
          </w:p>
        </w:tc>
        <w:tc>
          <w:tcPr>
            <w:tcW w:w="5355" w:type="dxa"/>
            <w:gridSpan w:val="4"/>
            <w:tcBorders>
              <w:top w:val="nil"/>
              <w:left w:val="nil"/>
              <w:bottom w:val="single" w:color="auto" w:sz="4" w:space="0"/>
              <w:right w:val="single" w:color="auto" w:sz="4" w:space="0"/>
            </w:tcBorders>
          </w:tcPr>
          <w:p>
            <w:pPr>
              <w:rPr>
                <w:rFonts w:ascii="宋体" w:hAnsi="宋体" w:eastAsia="宋体" w:cs="宋体"/>
                <w:sz w:val="20"/>
                <w:szCs w:val="20"/>
              </w:rPr>
            </w:pPr>
            <w:r>
              <w:rPr>
                <w:rFonts w:hint="eastAsia" w:ascii="宋体" w:hAnsi="宋体" w:eastAsia="宋体" w:cs="宋体"/>
                <w:sz w:val="20"/>
                <w:szCs w:val="20"/>
              </w:rPr>
              <w:t xml:space="preserve">单位意见（签章） </w:t>
            </w:r>
            <w:r>
              <w:rPr>
                <w:rFonts w:hint="eastAsia" w:ascii="宋体" w:hAnsi="宋体" w:eastAsia="宋体" w:cs="宋体"/>
                <w:sz w:val="20"/>
                <w:szCs w:val="20"/>
              </w:rPr>
              <w:br w:type="textWrapping"/>
            </w:r>
          </w:p>
          <w:p>
            <w:pPr>
              <w:jc w:val="center"/>
              <w:rPr>
                <w:rFonts w:ascii="宋体" w:hAnsi="宋体" w:eastAsia="宋体" w:cs="宋体"/>
                <w:sz w:val="20"/>
                <w:szCs w:val="20"/>
              </w:rPr>
            </w:pPr>
            <w:r>
              <w:rPr>
                <w:rFonts w:hint="eastAsia" w:ascii="宋体" w:hAnsi="宋体" w:eastAsia="宋体" w:cs="宋体"/>
                <w:sz w:val="20"/>
                <w:szCs w:val="20"/>
              </w:rPr>
              <w:t xml:space="preserve">                                 </w:t>
            </w:r>
          </w:p>
          <w:p>
            <w:pPr>
              <w:jc w:val="center"/>
              <w:rPr>
                <w:rFonts w:ascii="宋体" w:hAnsi="宋体" w:eastAsia="宋体" w:cs="宋体"/>
                <w:sz w:val="20"/>
                <w:szCs w:val="20"/>
              </w:rPr>
            </w:pPr>
            <w:r>
              <w:rPr>
                <w:rFonts w:hint="eastAsia" w:ascii="宋体" w:hAnsi="宋体" w:eastAsia="宋体" w:cs="宋体"/>
                <w:sz w:val="20"/>
                <w:szCs w:val="20"/>
              </w:rPr>
              <w:t xml:space="preserve">                                                          </w:t>
            </w:r>
          </w:p>
          <w:p>
            <w:pPr>
              <w:jc w:val="right"/>
              <w:rPr>
                <w:rFonts w:ascii="宋体" w:hAnsi="宋体" w:eastAsia="宋体" w:cs="宋体"/>
                <w:sz w:val="20"/>
                <w:szCs w:val="20"/>
              </w:rPr>
            </w:pPr>
            <w:r>
              <w:rPr>
                <w:rFonts w:hint="eastAsia" w:ascii="宋体" w:hAnsi="宋体" w:eastAsia="宋体" w:cs="宋体"/>
                <w:sz w:val="20"/>
                <w:szCs w:val="20"/>
              </w:rPr>
              <w:t xml:space="preserve">                                                        年   月   日  </w:t>
            </w:r>
          </w:p>
        </w:tc>
        <w:tc>
          <w:tcPr>
            <w:tcW w:w="5207" w:type="dxa"/>
            <w:gridSpan w:val="5"/>
            <w:tcBorders>
              <w:top w:val="nil"/>
              <w:left w:val="nil"/>
              <w:bottom w:val="single" w:color="auto" w:sz="4" w:space="0"/>
              <w:right w:val="single" w:color="auto" w:sz="4" w:space="0"/>
            </w:tcBorders>
          </w:tcPr>
          <w:p>
            <w:pPr>
              <w:rPr>
                <w:rFonts w:ascii="宋体" w:hAnsi="宋体" w:eastAsia="宋体" w:cs="宋体"/>
                <w:sz w:val="20"/>
                <w:szCs w:val="20"/>
              </w:rPr>
            </w:pPr>
            <w:r>
              <w:rPr>
                <w:rFonts w:hint="eastAsia" w:ascii="宋体" w:hAnsi="宋体" w:eastAsia="宋体" w:cs="宋体"/>
                <w:sz w:val="20"/>
                <w:szCs w:val="20"/>
              </w:rPr>
              <w:t>主管部门审核意见（签章）</w:t>
            </w:r>
            <w:r>
              <w:rPr>
                <w:rFonts w:hint="eastAsia" w:ascii="宋体" w:hAnsi="宋体" w:eastAsia="宋体" w:cs="宋体"/>
                <w:sz w:val="20"/>
                <w:szCs w:val="20"/>
              </w:rPr>
              <w:br w:type="textWrapping"/>
            </w:r>
          </w:p>
          <w:p>
            <w:pPr>
              <w:rPr>
                <w:rFonts w:ascii="宋体" w:hAnsi="宋体" w:eastAsia="宋体" w:cs="宋体"/>
                <w:sz w:val="20"/>
                <w:szCs w:val="20"/>
              </w:rPr>
            </w:pPr>
          </w:p>
          <w:p>
            <w:pPr>
              <w:ind w:firstLine="3600" w:firstLineChars="1800"/>
              <w:rPr>
                <w:rFonts w:ascii="宋体" w:hAnsi="宋体" w:eastAsia="宋体" w:cs="宋体"/>
                <w:sz w:val="20"/>
                <w:szCs w:val="20"/>
              </w:rPr>
            </w:pPr>
            <w:r>
              <w:rPr>
                <w:rFonts w:hint="eastAsia" w:ascii="宋体" w:hAnsi="宋体" w:eastAsia="宋体" w:cs="宋体"/>
                <w:sz w:val="20"/>
                <w:szCs w:val="20"/>
              </w:rPr>
              <w:t xml:space="preserve"> </w:t>
            </w:r>
          </w:p>
          <w:p>
            <w:pPr>
              <w:ind w:firstLine="3600" w:firstLineChars="1800"/>
              <w:rPr>
                <w:rFonts w:ascii="宋体" w:hAnsi="宋体" w:eastAsia="宋体" w:cs="宋体"/>
                <w:sz w:val="20"/>
                <w:szCs w:val="20"/>
              </w:rPr>
            </w:pPr>
          </w:p>
          <w:p>
            <w:pPr>
              <w:ind w:firstLine="3600" w:firstLineChars="1800"/>
              <w:jc w:val="right"/>
              <w:rPr>
                <w:rFonts w:ascii="宋体" w:hAnsi="宋体" w:eastAsia="宋体" w:cs="宋体"/>
                <w:sz w:val="20"/>
                <w:szCs w:val="20"/>
              </w:rPr>
            </w:pPr>
            <w:r>
              <w:rPr>
                <w:rFonts w:hint="eastAsia" w:ascii="宋体" w:hAnsi="宋体" w:eastAsia="宋体" w:cs="宋体"/>
                <w:sz w:val="20"/>
                <w:szCs w:val="20"/>
              </w:rPr>
              <w:t>年   月   日</w:t>
            </w:r>
          </w:p>
        </w:tc>
        <w:tc>
          <w:tcPr>
            <w:tcW w:w="4031" w:type="dxa"/>
            <w:gridSpan w:val="4"/>
            <w:tcBorders>
              <w:top w:val="nil"/>
              <w:left w:val="nil"/>
              <w:bottom w:val="single" w:color="auto" w:sz="4" w:space="0"/>
              <w:right w:val="single" w:color="auto" w:sz="4" w:space="0"/>
            </w:tcBorders>
          </w:tcPr>
          <w:p>
            <w:pPr>
              <w:rPr>
                <w:rFonts w:ascii="宋体" w:hAnsi="宋体" w:eastAsia="宋体" w:cs="宋体"/>
                <w:sz w:val="20"/>
                <w:szCs w:val="20"/>
              </w:rPr>
            </w:pPr>
            <w:r>
              <w:rPr>
                <w:rFonts w:hint="eastAsia" w:ascii="宋体" w:hAnsi="宋体" w:eastAsia="宋体" w:cs="宋体"/>
                <w:sz w:val="20"/>
                <w:szCs w:val="20"/>
              </w:rPr>
              <w:t>财政局意见：（签章）</w:t>
            </w:r>
            <w:r>
              <w:rPr>
                <w:rFonts w:hint="eastAsia" w:ascii="宋体" w:hAnsi="宋体" w:eastAsia="宋体" w:cs="宋体"/>
                <w:sz w:val="20"/>
                <w:szCs w:val="20"/>
              </w:rPr>
              <w:br w:type="textWrapping"/>
            </w:r>
          </w:p>
          <w:p>
            <w:pPr>
              <w:rPr>
                <w:rFonts w:ascii="宋体" w:hAnsi="宋体" w:eastAsia="宋体" w:cs="宋体"/>
                <w:sz w:val="20"/>
                <w:szCs w:val="20"/>
              </w:rPr>
            </w:pPr>
            <w:r>
              <w:rPr>
                <w:rFonts w:hint="eastAsia" w:ascii="宋体" w:hAnsi="宋体" w:eastAsia="宋体" w:cs="宋体"/>
                <w:sz w:val="20"/>
                <w:szCs w:val="20"/>
              </w:rPr>
              <w:br w:type="textWrapping"/>
            </w:r>
            <w:r>
              <w:rPr>
                <w:rFonts w:hint="eastAsia" w:ascii="宋体" w:hAnsi="宋体" w:eastAsia="宋体" w:cs="宋体"/>
                <w:sz w:val="20"/>
                <w:szCs w:val="20"/>
              </w:rPr>
              <w:t xml:space="preserve">  </w:t>
            </w:r>
          </w:p>
          <w:p>
            <w:pPr>
              <w:rPr>
                <w:rFonts w:ascii="宋体" w:hAnsi="宋体" w:eastAsia="宋体" w:cs="宋体"/>
                <w:sz w:val="20"/>
                <w:szCs w:val="20"/>
              </w:rPr>
            </w:pPr>
          </w:p>
          <w:p>
            <w:pPr>
              <w:jc w:val="right"/>
              <w:rPr>
                <w:rFonts w:ascii="宋体" w:hAnsi="宋体" w:eastAsia="宋体" w:cs="宋体"/>
                <w:sz w:val="20"/>
                <w:szCs w:val="20"/>
              </w:rPr>
            </w:pPr>
            <w:r>
              <w:rPr>
                <w:rFonts w:hint="eastAsia"/>
                <w:sz w:val="20"/>
                <w:szCs w:val="20"/>
              </w:rPr>
              <w:t xml:space="preserve">                     年   月  </w:t>
            </w:r>
            <w:r>
              <w:rPr>
                <w:rFonts w:hint="eastAsia" w:ascii="宋体" w:hAnsi="宋体" w:eastAsia="宋体" w:cs="宋体"/>
                <w:sz w:val="20"/>
                <w:szCs w:val="20"/>
              </w:rPr>
              <w:t xml:space="preserve"> 日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10" w:hRule="atLeast"/>
        </w:trPr>
        <w:tc>
          <w:tcPr>
            <w:tcW w:w="571" w:type="dxa"/>
            <w:tcBorders>
              <w:top w:val="nil"/>
              <w:left w:val="single" w:color="auto" w:sz="4" w:space="0"/>
              <w:bottom w:val="single" w:color="auto" w:sz="4" w:space="0"/>
              <w:right w:val="single" w:color="auto" w:sz="4" w:space="0"/>
            </w:tcBorders>
            <w:vAlign w:val="center"/>
          </w:tcPr>
          <w:p>
            <w:pPr>
              <w:jc w:val="center"/>
              <w:rPr>
                <w:rFonts w:ascii="宋体" w:hAnsi="宋体"/>
                <w:sz w:val="20"/>
                <w:szCs w:val="20"/>
              </w:rPr>
            </w:pPr>
            <w:r>
              <w:rPr>
                <w:rFonts w:hint="eastAsia"/>
                <w:sz w:val="20"/>
                <w:szCs w:val="20"/>
              </w:rPr>
              <w:t>接</w:t>
            </w:r>
            <w:r>
              <w:rPr>
                <w:sz w:val="20"/>
                <w:szCs w:val="20"/>
              </w:rPr>
              <w:br w:type="textWrapping"/>
            </w:r>
            <w:r>
              <w:rPr>
                <w:rFonts w:hint="eastAsia"/>
                <w:sz w:val="20"/>
                <w:szCs w:val="20"/>
              </w:rPr>
              <w:t>收</w:t>
            </w:r>
            <w:r>
              <w:rPr>
                <w:sz w:val="20"/>
                <w:szCs w:val="20"/>
              </w:rPr>
              <w:br w:type="textWrapping"/>
            </w:r>
            <w:r>
              <w:rPr>
                <w:rFonts w:hint="eastAsia"/>
                <w:sz w:val="20"/>
                <w:szCs w:val="20"/>
              </w:rPr>
              <w:t>方</w:t>
            </w:r>
          </w:p>
        </w:tc>
        <w:tc>
          <w:tcPr>
            <w:tcW w:w="5355" w:type="dxa"/>
            <w:gridSpan w:val="4"/>
            <w:tcBorders>
              <w:top w:val="nil"/>
              <w:left w:val="nil"/>
              <w:bottom w:val="single" w:color="auto" w:sz="4" w:space="0"/>
              <w:right w:val="single" w:color="auto" w:sz="4" w:space="0"/>
            </w:tcBorders>
          </w:tcPr>
          <w:p>
            <w:pPr>
              <w:jc w:val="left"/>
              <w:rPr>
                <w:rFonts w:ascii="宋体" w:hAnsi="宋体" w:eastAsia="宋体" w:cs="宋体"/>
                <w:sz w:val="20"/>
                <w:szCs w:val="20"/>
              </w:rPr>
            </w:pPr>
            <w:r>
              <w:rPr>
                <w:rFonts w:hint="eastAsia" w:ascii="宋体" w:hAnsi="宋体" w:eastAsia="宋体" w:cs="宋体"/>
                <w:sz w:val="20"/>
                <w:szCs w:val="20"/>
              </w:rPr>
              <w:t xml:space="preserve">单位意见（签章） </w:t>
            </w:r>
            <w:r>
              <w:rPr>
                <w:rFonts w:hint="eastAsia" w:ascii="宋体" w:hAnsi="宋体" w:eastAsia="宋体" w:cs="宋体"/>
                <w:sz w:val="20"/>
                <w:szCs w:val="20"/>
              </w:rPr>
              <w:br w:type="textWrapping"/>
            </w:r>
          </w:p>
          <w:p>
            <w:pPr>
              <w:jc w:val="right"/>
              <w:rPr>
                <w:rFonts w:ascii="宋体" w:hAnsi="宋体" w:eastAsia="宋体" w:cs="宋体"/>
                <w:sz w:val="20"/>
                <w:szCs w:val="20"/>
              </w:rPr>
            </w:pPr>
            <w:r>
              <w:rPr>
                <w:rFonts w:hint="eastAsia" w:ascii="宋体" w:hAnsi="宋体" w:eastAsia="宋体" w:cs="宋体"/>
                <w:sz w:val="20"/>
                <w:szCs w:val="20"/>
              </w:rPr>
              <w:br w:type="textWrapping"/>
            </w:r>
            <w:r>
              <w:rPr>
                <w:rFonts w:hint="eastAsia" w:ascii="宋体" w:hAnsi="宋体" w:eastAsia="宋体" w:cs="宋体"/>
                <w:sz w:val="20"/>
                <w:szCs w:val="20"/>
              </w:rPr>
              <w:t xml:space="preserve">                                  </w:t>
            </w:r>
          </w:p>
          <w:p>
            <w:pPr>
              <w:jc w:val="center"/>
              <w:rPr>
                <w:rFonts w:ascii="宋体" w:hAnsi="宋体" w:eastAsia="宋体" w:cs="宋体"/>
                <w:sz w:val="20"/>
                <w:szCs w:val="20"/>
              </w:rPr>
            </w:pPr>
            <w:r>
              <w:rPr>
                <w:rFonts w:hint="eastAsia" w:ascii="宋体" w:hAnsi="宋体" w:eastAsia="宋体" w:cs="宋体"/>
                <w:sz w:val="20"/>
                <w:szCs w:val="20"/>
              </w:rPr>
              <w:t xml:space="preserve">                              </w:t>
            </w:r>
          </w:p>
          <w:p>
            <w:pPr>
              <w:ind w:firstLine="3800" w:firstLineChars="1900"/>
              <w:jc w:val="right"/>
              <w:rPr>
                <w:rFonts w:ascii="宋体" w:hAnsi="宋体" w:eastAsia="宋体" w:cs="宋体"/>
                <w:sz w:val="20"/>
                <w:szCs w:val="20"/>
              </w:rPr>
            </w:pPr>
            <w:r>
              <w:rPr>
                <w:rFonts w:hint="eastAsia"/>
                <w:sz w:val="20"/>
                <w:szCs w:val="20"/>
              </w:rPr>
              <w:t xml:space="preserve">年   月  </w:t>
            </w:r>
            <w:r>
              <w:rPr>
                <w:rFonts w:hint="eastAsia" w:ascii="宋体" w:hAnsi="宋体" w:eastAsia="宋体" w:cs="宋体"/>
                <w:sz w:val="20"/>
                <w:szCs w:val="20"/>
              </w:rPr>
              <w:t xml:space="preserve"> 日</w:t>
            </w:r>
          </w:p>
        </w:tc>
        <w:tc>
          <w:tcPr>
            <w:tcW w:w="5207" w:type="dxa"/>
            <w:gridSpan w:val="5"/>
            <w:tcBorders>
              <w:top w:val="nil"/>
              <w:left w:val="nil"/>
              <w:bottom w:val="single" w:color="auto" w:sz="4" w:space="0"/>
              <w:right w:val="single" w:color="auto" w:sz="4" w:space="0"/>
            </w:tcBorders>
          </w:tcPr>
          <w:p>
            <w:pPr>
              <w:pStyle w:val="2"/>
              <w:rPr>
                <w:rFonts w:ascii="宋体" w:hAnsi="宋体" w:eastAsia="宋体" w:cs="宋体"/>
                <w:sz w:val="20"/>
                <w:szCs w:val="20"/>
              </w:rPr>
            </w:pPr>
            <w:r>
              <w:rPr>
                <w:rFonts w:hint="eastAsia" w:ascii="宋体" w:hAnsi="宋体" w:eastAsia="宋体" w:cs="宋体"/>
                <w:sz w:val="20"/>
                <w:szCs w:val="20"/>
              </w:rPr>
              <w:t>主管部门审核意见（签章）</w:t>
            </w:r>
          </w:p>
          <w:p>
            <w:pPr>
              <w:pStyle w:val="2"/>
              <w:rPr>
                <w:rFonts w:ascii="宋体" w:hAnsi="宋体" w:eastAsia="宋体" w:cs="宋体"/>
                <w:sz w:val="20"/>
                <w:szCs w:val="20"/>
              </w:rPr>
            </w:pPr>
          </w:p>
          <w:p>
            <w:pPr>
              <w:pStyle w:val="2"/>
              <w:rPr>
                <w:rFonts w:ascii="宋体" w:hAnsi="宋体" w:eastAsia="宋体" w:cs="宋体"/>
                <w:sz w:val="20"/>
                <w:szCs w:val="20"/>
              </w:rPr>
            </w:pPr>
          </w:p>
          <w:p>
            <w:pPr>
              <w:pStyle w:val="2"/>
              <w:ind w:firstLine="3600" w:firstLineChars="1800"/>
              <w:rPr>
                <w:sz w:val="20"/>
                <w:szCs w:val="20"/>
              </w:rPr>
            </w:pPr>
          </w:p>
          <w:p>
            <w:pPr>
              <w:pStyle w:val="2"/>
              <w:ind w:firstLine="3600" w:firstLineChars="1800"/>
              <w:rPr>
                <w:sz w:val="20"/>
                <w:szCs w:val="20"/>
              </w:rPr>
            </w:pPr>
          </w:p>
          <w:p>
            <w:pPr>
              <w:pStyle w:val="2"/>
              <w:ind w:firstLine="3600" w:firstLineChars="1800"/>
              <w:jc w:val="right"/>
              <w:rPr>
                <w:rFonts w:ascii="宋体" w:hAnsi="宋体" w:eastAsia="宋体" w:cs="宋体"/>
                <w:sz w:val="20"/>
                <w:szCs w:val="20"/>
              </w:rPr>
            </w:pPr>
            <w:r>
              <w:rPr>
                <w:rFonts w:hint="eastAsia"/>
                <w:sz w:val="20"/>
                <w:szCs w:val="20"/>
              </w:rPr>
              <w:t xml:space="preserve">年   月  </w:t>
            </w:r>
            <w:r>
              <w:rPr>
                <w:rFonts w:hint="eastAsia" w:ascii="宋体" w:hAnsi="宋体" w:eastAsia="宋体" w:cs="宋体"/>
                <w:sz w:val="20"/>
                <w:szCs w:val="20"/>
              </w:rPr>
              <w:t xml:space="preserve"> 日</w:t>
            </w:r>
          </w:p>
        </w:tc>
        <w:tc>
          <w:tcPr>
            <w:tcW w:w="4031" w:type="dxa"/>
            <w:gridSpan w:val="4"/>
            <w:tcBorders>
              <w:top w:val="nil"/>
              <w:left w:val="nil"/>
              <w:bottom w:val="single" w:color="auto" w:sz="4" w:space="0"/>
              <w:right w:val="single" w:color="auto" w:sz="4" w:space="0"/>
            </w:tcBorders>
          </w:tcPr>
          <w:p>
            <w:pPr>
              <w:pStyle w:val="2"/>
              <w:rPr>
                <w:sz w:val="20"/>
                <w:szCs w:val="20"/>
              </w:rPr>
            </w:pPr>
            <w:r>
              <w:rPr>
                <w:rFonts w:hint="eastAsia"/>
                <w:sz w:val="20"/>
                <w:szCs w:val="20"/>
              </w:rPr>
              <w:t>财政局意见：（签章）</w:t>
            </w:r>
          </w:p>
          <w:p>
            <w:pPr>
              <w:pStyle w:val="2"/>
              <w:ind w:firstLine="400" w:firstLineChars="200"/>
              <w:jc w:val="right"/>
              <w:rPr>
                <w:rFonts w:ascii="宋体" w:hAnsi="宋体" w:eastAsia="宋体" w:cs="宋体"/>
                <w:sz w:val="20"/>
                <w:szCs w:val="20"/>
              </w:rPr>
            </w:pPr>
          </w:p>
          <w:p>
            <w:pPr>
              <w:pStyle w:val="2"/>
              <w:ind w:firstLine="400" w:firstLineChars="200"/>
              <w:jc w:val="right"/>
              <w:rPr>
                <w:rFonts w:ascii="宋体" w:hAnsi="宋体" w:eastAsia="宋体" w:cs="宋体"/>
                <w:sz w:val="20"/>
                <w:szCs w:val="20"/>
              </w:rPr>
            </w:pPr>
          </w:p>
          <w:p>
            <w:pPr>
              <w:pStyle w:val="2"/>
              <w:ind w:firstLine="400" w:firstLineChars="200"/>
              <w:jc w:val="right"/>
              <w:rPr>
                <w:rFonts w:ascii="宋体" w:hAnsi="宋体" w:eastAsia="宋体" w:cs="宋体"/>
                <w:sz w:val="20"/>
                <w:szCs w:val="20"/>
              </w:rPr>
            </w:pPr>
          </w:p>
          <w:p>
            <w:pPr>
              <w:pStyle w:val="2"/>
              <w:wordWrap w:val="0"/>
              <w:ind w:firstLine="400" w:firstLineChars="200"/>
              <w:jc w:val="right"/>
              <w:rPr>
                <w:rFonts w:ascii="宋体" w:hAnsi="宋体" w:eastAsia="宋体" w:cs="宋体"/>
                <w:sz w:val="20"/>
                <w:szCs w:val="20"/>
              </w:rPr>
            </w:pPr>
          </w:p>
          <w:p>
            <w:pPr>
              <w:pStyle w:val="2"/>
              <w:ind w:firstLine="400" w:firstLineChars="200"/>
              <w:jc w:val="right"/>
              <w:rPr>
                <w:rFonts w:ascii="宋体" w:hAnsi="宋体" w:eastAsia="宋体" w:cs="宋体"/>
                <w:sz w:val="20"/>
                <w:szCs w:val="20"/>
              </w:rPr>
            </w:pPr>
            <w:r>
              <w:rPr>
                <w:rFonts w:hint="eastAsia"/>
                <w:sz w:val="20"/>
                <w:szCs w:val="20"/>
              </w:rPr>
              <w:t xml:space="preserve">                年   月  </w:t>
            </w:r>
            <w:r>
              <w:rPr>
                <w:rFonts w:hint="eastAsia" w:ascii="宋体" w:hAnsi="宋体" w:eastAsia="宋体" w:cs="宋体"/>
                <w:sz w:val="20"/>
                <w:szCs w:val="20"/>
              </w:rPr>
              <w:t xml:space="preserve"> 日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15164" w:type="dxa"/>
            <w:gridSpan w:val="14"/>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说明：1.本表适用于行政事业单位国有资产无偿划拨（转让）、对外捐赠等处置事项申请。</w:t>
            </w:r>
          </w:p>
          <w:p>
            <w:pPr>
              <w:widowControl/>
              <w:ind w:left="-420" w:leftChars="-200"/>
              <w:jc w:val="left"/>
              <w:rPr>
                <w:rFonts w:ascii="宋体" w:hAnsi="宋体" w:cs="宋体"/>
                <w:kern w:val="0"/>
                <w:sz w:val="22"/>
              </w:rPr>
            </w:pPr>
            <w:r>
              <w:rPr>
                <w:rFonts w:hint="eastAsia" w:ascii="宋体" w:hAnsi="宋体" w:cs="宋体"/>
                <w:kern w:val="0"/>
                <w:sz w:val="22"/>
              </w:rPr>
              <w:t xml:space="preserve">          2.资产类别:使用行政事业单位资产管理信息系统中的资产分类代码。</w:t>
            </w:r>
          </w:p>
          <w:p>
            <w:pPr>
              <w:widowControl/>
              <w:jc w:val="left"/>
              <w:rPr>
                <w:rFonts w:ascii="宋体" w:hAnsi="宋体" w:cs="宋体"/>
                <w:kern w:val="0"/>
                <w:sz w:val="22"/>
              </w:rPr>
            </w:pPr>
            <w:r>
              <w:rPr>
                <w:rFonts w:hint="eastAsia" w:ascii="宋体" w:hAnsi="宋体" w:cs="宋体"/>
                <w:kern w:val="0"/>
                <w:sz w:val="22"/>
              </w:rPr>
              <w:t xml:space="preserve">      3.资产处置方法 （1）同部门之间不改变资产属性的调拨 （2）跨部门之间调拨 （3）中央级单位和地方单位之间资产无偿调拨  （4）固定资产</w:t>
            </w:r>
          </w:p>
          <w:p>
            <w:pPr>
              <w:widowControl/>
              <w:jc w:val="left"/>
              <w:rPr>
                <w:rFonts w:ascii="宋体" w:hAnsi="宋体" w:cs="宋体"/>
                <w:kern w:val="0"/>
                <w:sz w:val="22"/>
              </w:rPr>
            </w:pPr>
            <w:r>
              <w:rPr>
                <w:rFonts w:hint="eastAsia" w:ascii="宋体" w:hAnsi="宋体" w:cs="宋体"/>
                <w:kern w:val="0"/>
                <w:sz w:val="22"/>
              </w:rPr>
              <w:t xml:space="preserve">        捐赠 （5）流动资产捐赠 （6）无形资产捐赠  （7）其他形式捐赠 （8）其他。</w:t>
            </w:r>
          </w:p>
          <w:p>
            <w:pPr>
              <w:widowControl/>
              <w:jc w:val="left"/>
              <w:rPr>
                <w:rFonts w:ascii="宋体" w:hAnsi="宋体" w:cs="宋体"/>
                <w:kern w:val="0"/>
                <w:sz w:val="22"/>
              </w:rPr>
            </w:pPr>
            <w:r>
              <w:rPr>
                <w:rFonts w:hint="eastAsia" w:ascii="宋体" w:hAnsi="宋体" w:cs="宋体"/>
                <w:kern w:val="0"/>
                <w:sz w:val="22"/>
              </w:rPr>
              <w:t xml:space="preserve">      4.表中资产分类代码、资产处置方法等均用代码填写。</w:t>
            </w:r>
          </w:p>
        </w:tc>
      </w:tr>
    </w:tbl>
    <w:p>
      <w:pPr>
        <w:spacing w:line="560" w:lineRule="exact"/>
        <w:rPr>
          <w:rFonts w:ascii="仿宋" w:hAnsi="仿宋" w:eastAsia="仿宋"/>
          <w:sz w:val="32"/>
          <w:szCs w:val="32"/>
        </w:rPr>
      </w:pPr>
    </w:p>
    <w:sectPr>
      <w:pgSz w:w="16838" w:h="11906" w:orient="landscape"/>
      <w:pgMar w:top="567" w:right="567" w:bottom="567" w:left="56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wiss"/>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A12531"/>
    <w:multiLevelType w:val="singleLevel"/>
    <w:tmpl w:val="4DA12531"/>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jOWUwZTc3NDkxNTQzZWY4M2U5NzRkNTU3M2Q0ZTMifQ=="/>
  </w:docVars>
  <w:rsids>
    <w:rsidRoot w:val="00D55CD3"/>
    <w:rsid w:val="00033763"/>
    <w:rsid w:val="001068AF"/>
    <w:rsid w:val="00107FAB"/>
    <w:rsid w:val="001244FB"/>
    <w:rsid w:val="001307FC"/>
    <w:rsid w:val="00200447"/>
    <w:rsid w:val="00252B01"/>
    <w:rsid w:val="002747C5"/>
    <w:rsid w:val="00356567"/>
    <w:rsid w:val="00370E10"/>
    <w:rsid w:val="00371EE6"/>
    <w:rsid w:val="00391E3A"/>
    <w:rsid w:val="003D4928"/>
    <w:rsid w:val="00426B1B"/>
    <w:rsid w:val="00431137"/>
    <w:rsid w:val="0044507E"/>
    <w:rsid w:val="00445373"/>
    <w:rsid w:val="0052194E"/>
    <w:rsid w:val="00555EA1"/>
    <w:rsid w:val="00585221"/>
    <w:rsid w:val="00705BC6"/>
    <w:rsid w:val="0082192C"/>
    <w:rsid w:val="008376E1"/>
    <w:rsid w:val="008A6D07"/>
    <w:rsid w:val="008B0685"/>
    <w:rsid w:val="0090611A"/>
    <w:rsid w:val="00912C19"/>
    <w:rsid w:val="00925662"/>
    <w:rsid w:val="009317D9"/>
    <w:rsid w:val="0095799A"/>
    <w:rsid w:val="00994D8B"/>
    <w:rsid w:val="00A26A92"/>
    <w:rsid w:val="00AC2E5D"/>
    <w:rsid w:val="00B20FF8"/>
    <w:rsid w:val="00B4657C"/>
    <w:rsid w:val="00B72C2E"/>
    <w:rsid w:val="00B8245F"/>
    <w:rsid w:val="00BC4808"/>
    <w:rsid w:val="00BC490A"/>
    <w:rsid w:val="00BD159D"/>
    <w:rsid w:val="00C671D1"/>
    <w:rsid w:val="00C74D6B"/>
    <w:rsid w:val="00CC076D"/>
    <w:rsid w:val="00CE21F3"/>
    <w:rsid w:val="00CF040A"/>
    <w:rsid w:val="00D32678"/>
    <w:rsid w:val="00D55CD3"/>
    <w:rsid w:val="00ED3731"/>
    <w:rsid w:val="00F57258"/>
    <w:rsid w:val="00FA0D58"/>
    <w:rsid w:val="02AD361F"/>
    <w:rsid w:val="058C2DCE"/>
    <w:rsid w:val="0831262E"/>
    <w:rsid w:val="123A47AB"/>
    <w:rsid w:val="16F87F17"/>
    <w:rsid w:val="196B4025"/>
    <w:rsid w:val="19792055"/>
    <w:rsid w:val="253A4D8F"/>
    <w:rsid w:val="27AE35ED"/>
    <w:rsid w:val="295D0E6A"/>
    <w:rsid w:val="2E137C3F"/>
    <w:rsid w:val="46D161A0"/>
    <w:rsid w:val="49C425C9"/>
    <w:rsid w:val="4A58144D"/>
    <w:rsid w:val="4C3A20C9"/>
    <w:rsid w:val="50C1450D"/>
    <w:rsid w:val="52810C43"/>
    <w:rsid w:val="52E50B89"/>
    <w:rsid w:val="56CF095A"/>
    <w:rsid w:val="5B0D5B7E"/>
    <w:rsid w:val="67475D41"/>
    <w:rsid w:val="6BFF0E87"/>
    <w:rsid w:val="76CD5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qFormat/>
    <w:uiPriority w:val="0"/>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paragraph" w:styleId="9">
    <w:name w:val="List Paragraph"/>
    <w:basedOn w:val="1"/>
    <w:qFormat/>
    <w:uiPriority w:val="34"/>
    <w:pPr>
      <w:ind w:firstLine="420" w:firstLineChars="200"/>
    </w:pPr>
  </w:style>
  <w:style w:type="paragraph" w:customStyle="1" w:styleId="10">
    <w:name w:val="Default"/>
    <w:qForma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character" w:customStyle="1" w:styleId="11">
    <w:name w:val="批注框文本 Char"/>
    <w:link w:val="2"/>
    <w:qFormat/>
    <w:uiPriority w:val="0"/>
    <w:rPr>
      <w:sz w:val="18"/>
      <w:szCs w:val="18"/>
    </w:rPr>
  </w:style>
  <w:style w:type="character" w:customStyle="1" w:styleId="12">
    <w:name w:val="批注框文本 Char1"/>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28EDA7D-4110-4740-91E5-B8F02F800940}">
  <ds:schemaRefs/>
</ds:datastoreItem>
</file>

<file path=docProps/app.xml><?xml version="1.0" encoding="utf-8"?>
<Properties xmlns="http://schemas.openxmlformats.org/officeDocument/2006/extended-properties" xmlns:vt="http://schemas.openxmlformats.org/officeDocument/2006/docPropsVTypes">
  <Template>Normal.dotm</Template>
  <Pages>15</Pages>
  <Words>6095</Words>
  <Characters>6164</Characters>
  <Lines>55</Lines>
  <Paragraphs>15</Paragraphs>
  <TotalTime>4</TotalTime>
  <ScaleCrop>false</ScaleCrop>
  <LinksUpToDate>false</LinksUpToDate>
  <CharactersWithSpaces>7297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2021-03-17T00:57:00Z</dcterms:created>
  <dc:creator>lenovo</dc:creator>
  <cp:lastModifiedBy>Administrator</cp:lastModifiedBy>
  <dcterms:modified xsi:type="dcterms:W3CDTF">2023-05-12T02:06:16Z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CAF7757939CA480F9FAE004D3A9B5221_13</vt:lpwstr>
  </property>
</Properties>
</file>